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1156" w14:textId="5A17E812" w:rsidR="007932AB" w:rsidRPr="00817DEF" w:rsidRDefault="00817DEF" w:rsidP="007932AB">
      <w:pPr>
        <w:spacing w:before="100" w:beforeAutospacing="1" w:after="100" w:afterAutospacing="1" w:line="240" w:lineRule="auto"/>
        <w:rPr>
          <w:rFonts w:eastAsia="Times New Roman" w:cstheme="minorHAnsi"/>
          <w:color w:val="000000"/>
          <w:sz w:val="28"/>
          <w:lang w:val="en"/>
        </w:rPr>
      </w:pPr>
      <w:r w:rsidRPr="00817DEF">
        <w:rPr>
          <w:rStyle w:val="p2"/>
          <w:rFonts w:cstheme="minorHAnsi"/>
          <w:b/>
          <w:sz w:val="28"/>
        </w:rPr>
        <w:t>IT Analyst, Information Management Services (Archiv</w:t>
      </w:r>
      <w:r w:rsidR="007644DA">
        <w:rPr>
          <w:rStyle w:val="p2"/>
          <w:rFonts w:cstheme="minorHAnsi"/>
          <w:b/>
          <w:sz w:val="28"/>
        </w:rPr>
        <w:t>es and Records Management</w:t>
      </w:r>
      <w:r w:rsidRPr="00817DEF">
        <w:rPr>
          <w:rStyle w:val="p2"/>
          <w:rFonts w:cstheme="minorHAnsi"/>
          <w:b/>
          <w:sz w:val="28"/>
        </w:rPr>
        <w:t>)</w:t>
      </w: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3114"/>
        <w:gridCol w:w="5511"/>
      </w:tblGrid>
      <w:tr w:rsidR="007932AB" w:rsidRPr="00817DEF" w14:paraId="50DAE412" w14:textId="77777777" w:rsidTr="007932AB">
        <w:trPr>
          <w:tblCellSpacing w:w="15" w:type="dxa"/>
        </w:trPr>
        <w:tc>
          <w:tcPr>
            <w:tcW w:w="4200" w:type="dxa"/>
            <w:vAlign w:val="center"/>
            <w:hideMark/>
          </w:tcPr>
          <w:p w14:paraId="68E6D45A"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Job #:</w:t>
            </w:r>
          </w:p>
        </w:tc>
        <w:tc>
          <w:tcPr>
            <w:tcW w:w="8100" w:type="dxa"/>
            <w:vAlign w:val="center"/>
            <w:hideMark/>
          </w:tcPr>
          <w:p w14:paraId="7A6D5ECD" w14:textId="77777777"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tbc</w:t>
            </w:r>
          </w:p>
        </w:tc>
      </w:tr>
      <w:tr w:rsidR="007932AB" w:rsidRPr="00817DEF" w14:paraId="68BEB59E" w14:textId="77777777" w:rsidTr="007932AB">
        <w:trPr>
          <w:tblCellSpacing w:w="15" w:type="dxa"/>
        </w:trPr>
        <w:tc>
          <w:tcPr>
            <w:tcW w:w="4200" w:type="dxa"/>
            <w:vAlign w:val="center"/>
            <w:hideMark/>
          </w:tcPr>
          <w:p w14:paraId="786C5B48"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Organization:</w:t>
            </w:r>
          </w:p>
        </w:tc>
        <w:tc>
          <w:tcPr>
            <w:tcW w:w="8100" w:type="dxa"/>
            <w:vAlign w:val="center"/>
            <w:hideMark/>
          </w:tcPr>
          <w:p w14:paraId="6FF6C3B4" w14:textId="5D1D9640"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World Bank</w:t>
            </w:r>
            <w:r w:rsidR="00C53E9B">
              <w:rPr>
                <w:rFonts w:eastAsia="Times New Roman" w:cstheme="minorHAnsi"/>
                <w:color w:val="000000"/>
              </w:rPr>
              <w:t xml:space="preserve"> Group</w:t>
            </w:r>
          </w:p>
        </w:tc>
      </w:tr>
      <w:tr w:rsidR="007932AB" w:rsidRPr="00817DEF" w14:paraId="4D1BAF9D" w14:textId="77777777" w:rsidTr="007932AB">
        <w:trPr>
          <w:tblCellSpacing w:w="15" w:type="dxa"/>
        </w:trPr>
        <w:tc>
          <w:tcPr>
            <w:tcW w:w="4200" w:type="dxa"/>
            <w:vAlign w:val="center"/>
            <w:hideMark/>
          </w:tcPr>
          <w:p w14:paraId="774A5785"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Sector:</w:t>
            </w:r>
          </w:p>
        </w:tc>
        <w:tc>
          <w:tcPr>
            <w:tcW w:w="8100" w:type="dxa"/>
            <w:vAlign w:val="center"/>
            <w:hideMark/>
          </w:tcPr>
          <w:p w14:paraId="7A0C8372" w14:textId="77777777"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Information Technology</w:t>
            </w:r>
          </w:p>
        </w:tc>
      </w:tr>
      <w:tr w:rsidR="007932AB" w:rsidRPr="00817DEF" w14:paraId="16FFFCB1" w14:textId="77777777" w:rsidTr="007932AB">
        <w:trPr>
          <w:tblCellSpacing w:w="15" w:type="dxa"/>
        </w:trPr>
        <w:tc>
          <w:tcPr>
            <w:tcW w:w="4200" w:type="dxa"/>
            <w:vAlign w:val="center"/>
            <w:hideMark/>
          </w:tcPr>
          <w:p w14:paraId="3A2CF5F9"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Grade:</w:t>
            </w:r>
          </w:p>
        </w:tc>
        <w:tc>
          <w:tcPr>
            <w:tcW w:w="8100" w:type="dxa"/>
            <w:vAlign w:val="center"/>
            <w:hideMark/>
          </w:tcPr>
          <w:p w14:paraId="69E5266C" w14:textId="77777777"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GE</w:t>
            </w:r>
          </w:p>
        </w:tc>
      </w:tr>
      <w:tr w:rsidR="007932AB" w:rsidRPr="00817DEF" w14:paraId="49818CD6" w14:textId="77777777" w:rsidTr="007932AB">
        <w:trPr>
          <w:tblCellSpacing w:w="15" w:type="dxa"/>
        </w:trPr>
        <w:tc>
          <w:tcPr>
            <w:tcW w:w="4200" w:type="dxa"/>
            <w:vAlign w:val="center"/>
            <w:hideMark/>
          </w:tcPr>
          <w:p w14:paraId="758DC4A6"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Term Duration: </w:t>
            </w:r>
          </w:p>
        </w:tc>
        <w:tc>
          <w:tcPr>
            <w:tcW w:w="8100" w:type="dxa"/>
            <w:vAlign w:val="center"/>
            <w:hideMark/>
          </w:tcPr>
          <w:p w14:paraId="5ABE16E7" w14:textId="624B8250" w:rsidR="007932AB" w:rsidRPr="00817DEF" w:rsidRDefault="51ECF98A" w:rsidP="007932AB">
            <w:pPr>
              <w:spacing w:after="0" w:line="240" w:lineRule="auto"/>
              <w:rPr>
                <w:rFonts w:eastAsia="Times New Roman"/>
                <w:color w:val="000000"/>
              </w:rPr>
            </w:pPr>
            <w:r w:rsidRPr="3F70B8D3">
              <w:rPr>
                <w:rFonts w:eastAsia="Times New Roman"/>
                <w:color w:val="000000" w:themeColor="text1"/>
              </w:rPr>
              <w:t>3</w:t>
            </w:r>
            <w:r w:rsidR="007932AB" w:rsidRPr="3F70B8D3">
              <w:rPr>
                <w:rFonts w:eastAsia="Times New Roman"/>
                <w:color w:val="000000" w:themeColor="text1"/>
              </w:rPr>
              <w:t xml:space="preserve"> years 0 months</w:t>
            </w:r>
          </w:p>
        </w:tc>
      </w:tr>
      <w:tr w:rsidR="007932AB" w:rsidRPr="00817DEF" w14:paraId="086A96D8" w14:textId="77777777" w:rsidTr="007932AB">
        <w:trPr>
          <w:tblCellSpacing w:w="15" w:type="dxa"/>
        </w:trPr>
        <w:tc>
          <w:tcPr>
            <w:tcW w:w="4200" w:type="dxa"/>
            <w:vAlign w:val="center"/>
            <w:hideMark/>
          </w:tcPr>
          <w:p w14:paraId="0A04BD52"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Recruitment Type:</w:t>
            </w:r>
          </w:p>
        </w:tc>
        <w:tc>
          <w:tcPr>
            <w:tcW w:w="8100" w:type="dxa"/>
            <w:vAlign w:val="center"/>
            <w:hideMark/>
          </w:tcPr>
          <w:p w14:paraId="72DFA284" w14:textId="41CAA1D0" w:rsidR="007932AB" w:rsidRPr="00817DEF" w:rsidRDefault="00460D28" w:rsidP="007932AB">
            <w:pPr>
              <w:spacing w:after="0" w:line="240" w:lineRule="auto"/>
              <w:rPr>
                <w:rFonts w:eastAsia="Times New Roman" w:cstheme="minorHAnsi"/>
                <w:color w:val="000000"/>
              </w:rPr>
            </w:pPr>
            <w:r>
              <w:rPr>
                <w:rFonts w:eastAsia="Times New Roman" w:cstheme="minorHAnsi"/>
                <w:color w:val="000000"/>
              </w:rPr>
              <w:t>International</w:t>
            </w:r>
            <w:r w:rsidR="007932AB" w:rsidRPr="00817DEF">
              <w:rPr>
                <w:rFonts w:eastAsia="Times New Roman" w:cstheme="minorHAnsi"/>
                <w:color w:val="000000"/>
              </w:rPr>
              <w:t xml:space="preserve"> Recruitment</w:t>
            </w:r>
          </w:p>
        </w:tc>
      </w:tr>
      <w:tr w:rsidR="007932AB" w:rsidRPr="00817DEF" w14:paraId="63E657E9" w14:textId="77777777" w:rsidTr="007932AB">
        <w:trPr>
          <w:tblCellSpacing w:w="15" w:type="dxa"/>
        </w:trPr>
        <w:tc>
          <w:tcPr>
            <w:tcW w:w="4200" w:type="dxa"/>
            <w:vAlign w:val="center"/>
            <w:hideMark/>
          </w:tcPr>
          <w:p w14:paraId="7C299DBA"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Location:</w:t>
            </w:r>
          </w:p>
        </w:tc>
        <w:tc>
          <w:tcPr>
            <w:tcW w:w="8100" w:type="dxa"/>
            <w:vAlign w:val="center"/>
            <w:hideMark/>
          </w:tcPr>
          <w:p w14:paraId="6394F0CA" w14:textId="77777777"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Washington, DC</w:t>
            </w:r>
          </w:p>
        </w:tc>
      </w:tr>
      <w:tr w:rsidR="007932AB" w:rsidRPr="00817DEF" w14:paraId="2E20A73C" w14:textId="77777777" w:rsidTr="007932AB">
        <w:trPr>
          <w:tblCellSpacing w:w="15" w:type="dxa"/>
        </w:trPr>
        <w:tc>
          <w:tcPr>
            <w:tcW w:w="4200" w:type="dxa"/>
            <w:vAlign w:val="center"/>
            <w:hideMark/>
          </w:tcPr>
          <w:p w14:paraId="16C78061"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Required Language(s):</w:t>
            </w:r>
          </w:p>
        </w:tc>
        <w:tc>
          <w:tcPr>
            <w:tcW w:w="8100" w:type="dxa"/>
            <w:vAlign w:val="center"/>
            <w:hideMark/>
          </w:tcPr>
          <w:p w14:paraId="7E94D0F1" w14:textId="77777777"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English</w:t>
            </w:r>
          </w:p>
        </w:tc>
      </w:tr>
      <w:tr w:rsidR="007932AB" w:rsidRPr="00817DEF" w14:paraId="67B326BA" w14:textId="77777777" w:rsidTr="007932AB">
        <w:trPr>
          <w:tblCellSpacing w:w="15" w:type="dxa"/>
        </w:trPr>
        <w:tc>
          <w:tcPr>
            <w:tcW w:w="4200" w:type="dxa"/>
            <w:vAlign w:val="center"/>
            <w:hideMark/>
          </w:tcPr>
          <w:p w14:paraId="35BC820A"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Preferred Language(s):</w:t>
            </w:r>
          </w:p>
        </w:tc>
        <w:tc>
          <w:tcPr>
            <w:tcW w:w="8100" w:type="dxa"/>
            <w:vAlign w:val="center"/>
            <w:hideMark/>
          </w:tcPr>
          <w:p w14:paraId="1BD579EC" w14:textId="77777777" w:rsidR="007932AB" w:rsidRPr="00817DEF" w:rsidRDefault="007932AB" w:rsidP="007932AB">
            <w:pPr>
              <w:spacing w:after="0" w:line="240" w:lineRule="auto"/>
              <w:rPr>
                <w:rFonts w:eastAsia="Times New Roman" w:cstheme="minorHAnsi"/>
                <w:bCs/>
                <w:color w:val="000000"/>
              </w:rPr>
            </w:pPr>
          </w:p>
        </w:tc>
      </w:tr>
      <w:tr w:rsidR="007932AB" w:rsidRPr="00817DEF" w14:paraId="776882A7" w14:textId="77777777" w:rsidTr="007932AB">
        <w:trPr>
          <w:tblCellSpacing w:w="15" w:type="dxa"/>
        </w:trPr>
        <w:tc>
          <w:tcPr>
            <w:tcW w:w="4200" w:type="dxa"/>
            <w:vAlign w:val="center"/>
            <w:hideMark/>
          </w:tcPr>
          <w:p w14:paraId="5EE19F29" w14:textId="77777777" w:rsidR="007932AB" w:rsidRPr="00817DEF" w:rsidRDefault="007932AB" w:rsidP="007932AB">
            <w:pPr>
              <w:spacing w:after="0" w:line="240" w:lineRule="auto"/>
              <w:rPr>
                <w:rFonts w:eastAsia="Times New Roman" w:cstheme="minorHAnsi"/>
                <w:bCs/>
                <w:color w:val="000000"/>
              </w:rPr>
            </w:pPr>
            <w:r w:rsidRPr="00817DEF">
              <w:rPr>
                <w:rFonts w:eastAsia="Times New Roman" w:cstheme="minorHAnsi"/>
                <w:bCs/>
                <w:color w:val="000000"/>
              </w:rPr>
              <w:t>Closing Date:</w:t>
            </w:r>
          </w:p>
        </w:tc>
        <w:tc>
          <w:tcPr>
            <w:tcW w:w="8100" w:type="dxa"/>
            <w:vAlign w:val="center"/>
            <w:hideMark/>
          </w:tcPr>
          <w:p w14:paraId="10A3CFD3" w14:textId="77777777" w:rsidR="007932AB" w:rsidRPr="00817DEF" w:rsidRDefault="007932AB" w:rsidP="007932AB">
            <w:pPr>
              <w:spacing w:after="0" w:line="240" w:lineRule="auto"/>
              <w:rPr>
                <w:rFonts w:eastAsia="Times New Roman" w:cstheme="minorHAnsi"/>
                <w:color w:val="000000"/>
              </w:rPr>
            </w:pPr>
            <w:r w:rsidRPr="00817DEF">
              <w:rPr>
                <w:rFonts w:eastAsia="Times New Roman" w:cstheme="minorHAnsi"/>
                <w:color w:val="000000"/>
              </w:rPr>
              <w:t>tbc</w:t>
            </w:r>
          </w:p>
        </w:tc>
      </w:tr>
    </w:tbl>
    <w:p w14:paraId="7F6938ED" w14:textId="77777777" w:rsidR="007932AB" w:rsidRPr="00817DEF" w:rsidRDefault="007932AB" w:rsidP="007932AB">
      <w:pPr>
        <w:spacing w:after="0" w:line="240" w:lineRule="auto"/>
        <w:rPr>
          <w:rFonts w:eastAsia="Times New Roman" w:cstheme="minorHAnsi"/>
          <w:vanish/>
          <w:color w:val="000000"/>
          <w:lang w:val="en"/>
        </w:rPr>
      </w:pPr>
    </w:p>
    <w:p w14:paraId="1A13676A" w14:textId="77777777" w:rsidR="00551B91" w:rsidRDefault="00551B91" w:rsidP="00B33303">
      <w:pPr>
        <w:shd w:val="clear" w:color="auto" w:fill="FFFFFF"/>
        <w:spacing w:after="0" w:line="240" w:lineRule="auto"/>
        <w:jc w:val="both"/>
        <w:rPr>
          <w:rFonts w:ascii="Verdana" w:eastAsia="Times New Roman" w:hAnsi="Verdana" w:cs="Times New Roman"/>
          <w:b/>
          <w:bCs/>
          <w:color w:val="000000"/>
          <w:sz w:val="18"/>
          <w:szCs w:val="18"/>
        </w:rPr>
      </w:pPr>
    </w:p>
    <w:p w14:paraId="75730E8B" w14:textId="77777777" w:rsidR="00551B91" w:rsidRDefault="00551B91" w:rsidP="00B33303">
      <w:pPr>
        <w:shd w:val="clear" w:color="auto" w:fill="FFFFFF"/>
        <w:spacing w:after="0" w:line="240" w:lineRule="auto"/>
        <w:jc w:val="both"/>
        <w:rPr>
          <w:rFonts w:ascii="Verdana" w:eastAsia="Times New Roman" w:hAnsi="Verdana" w:cs="Times New Roman"/>
          <w:b/>
          <w:bCs/>
          <w:color w:val="000000"/>
          <w:sz w:val="20"/>
          <w:szCs w:val="20"/>
        </w:rPr>
      </w:pPr>
    </w:p>
    <w:p w14:paraId="5A01DDCF" w14:textId="77777777" w:rsidR="00551B91" w:rsidRPr="005726F7" w:rsidRDefault="00551B91" w:rsidP="00B33303">
      <w:pPr>
        <w:shd w:val="clear" w:color="auto" w:fill="FFFFFF"/>
        <w:spacing w:after="0" w:line="240" w:lineRule="auto"/>
        <w:jc w:val="both"/>
        <w:rPr>
          <w:rFonts w:ascii="Verdana" w:eastAsia="Times New Roman" w:hAnsi="Verdana" w:cs="Times New Roman"/>
          <w:b/>
          <w:bCs/>
          <w:color w:val="000000"/>
          <w:sz w:val="20"/>
          <w:szCs w:val="20"/>
        </w:rPr>
      </w:pPr>
      <w:r w:rsidRPr="005726F7">
        <w:rPr>
          <w:rFonts w:ascii="Verdana" w:eastAsia="Times New Roman" w:hAnsi="Verdana" w:cs="Times New Roman"/>
          <w:b/>
          <w:bCs/>
          <w:color w:val="000000"/>
          <w:sz w:val="20"/>
          <w:szCs w:val="20"/>
        </w:rPr>
        <w:t>Description</w:t>
      </w:r>
    </w:p>
    <w:p w14:paraId="14A73D05" w14:textId="6D451D61" w:rsidR="00551B91" w:rsidRPr="0070328C" w:rsidRDefault="00551B91" w:rsidP="2BB5A88D">
      <w:pPr>
        <w:shd w:val="clear" w:color="auto" w:fill="FFFFFF" w:themeFill="background1"/>
        <w:spacing w:after="0" w:line="240" w:lineRule="auto"/>
        <w:jc w:val="both"/>
        <w:rPr>
          <w:rFonts w:eastAsia="Times New Roman" w:cstheme="minorHAnsi"/>
        </w:rPr>
      </w:pPr>
      <w:r w:rsidRPr="2BB5A88D">
        <w:rPr>
          <w:rFonts w:eastAsia="Times New Roman"/>
          <w:color w:val="000000" w:themeColor="text1"/>
        </w:rPr>
        <w:t xml:space="preserve">Are you an archivist, records manager, or information governance specialist who wants to build a career that is truly worthwhile? Working at the World Bank Group (WBG) provides an outstanding opportunity to help our clients solve their greatest development challenges. The WBG is the oldest and largest multilateral development bank in </w:t>
      </w:r>
      <w:r w:rsidR="1095659F" w:rsidRPr="3F70B8D3">
        <w:rPr>
          <w:rFonts w:eastAsia="Times New Roman"/>
          <w:color w:val="000000" w:themeColor="text1"/>
        </w:rPr>
        <w:t xml:space="preserve">the </w:t>
      </w:r>
      <w:r w:rsidRPr="2BB5A88D">
        <w:rPr>
          <w:rFonts w:eastAsia="Times New Roman"/>
          <w:color w:val="000000" w:themeColor="text1"/>
        </w:rPr>
        <w:t xml:space="preserve">world and was founded in 1945.  It is one of the largest sources of funding and knowledge for developing countries; a unique global partnership of five institutions dedicated to ending extreme poverty, </w:t>
      </w:r>
      <w:r w:rsidRPr="0070328C">
        <w:rPr>
          <w:rFonts w:eastAsia="Times New Roman" w:cstheme="minorHAnsi"/>
          <w:color w:val="000000" w:themeColor="text1"/>
        </w:rPr>
        <w:t xml:space="preserve">increasing shared prosperity, and promoting sustainable development. With 189 member countries and more than 12,000 staff worldwide, we work with public and private sector partners, investing in groundbreaking projects and using data, research, and technology to develop solutions to the most urgent global challenges. </w:t>
      </w:r>
    </w:p>
    <w:p w14:paraId="0D9FD523" w14:textId="64E626BC" w:rsidR="0070328C" w:rsidRPr="0070328C" w:rsidRDefault="00551B91" w:rsidP="0070328C">
      <w:pPr>
        <w:pStyle w:val="NormalWeb"/>
        <w:shd w:val="clear" w:color="auto" w:fill="FFFFFF"/>
        <w:jc w:val="both"/>
        <w:rPr>
          <w:rFonts w:asciiTheme="minorHAnsi" w:hAnsiTheme="minorHAnsi" w:cstheme="minorHAnsi"/>
          <w:color w:val="000000"/>
          <w:sz w:val="22"/>
          <w:szCs w:val="22"/>
        </w:rPr>
      </w:pPr>
      <w:r w:rsidRPr="0070328C">
        <w:rPr>
          <w:rFonts w:asciiTheme="minorHAnsi" w:hAnsiTheme="minorHAnsi" w:cstheme="minorHAnsi"/>
          <w:color w:val="000000" w:themeColor="text1"/>
          <w:sz w:val="22"/>
          <w:szCs w:val="22"/>
        </w:rPr>
        <w:t>Part of the Information &amp; Technology Solutions Vice Presidency, the Archives and Records unit (ITSAR) is seeking a new team member to work in the archival appraisal and information governance functions.</w:t>
      </w:r>
      <w:r w:rsidR="00CF3E07" w:rsidRPr="0070328C">
        <w:rPr>
          <w:rFonts w:asciiTheme="minorHAnsi" w:hAnsiTheme="minorHAnsi" w:cstheme="minorHAnsi"/>
          <w:color w:val="000000" w:themeColor="text1"/>
          <w:sz w:val="22"/>
          <w:szCs w:val="22"/>
        </w:rPr>
        <w:t xml:space="preserve">  This is a 3-year term, but with ample opportunity for renewal. </w:t>
      </w:r>
      <w:r w:rsidR="0070328C" w:rsidRPr="0070328C">
        <w:rPr>
          <w:rFonts w:asciiTheme="minorHAnsi" w:hAnsiTheme="minorHAnsi" w:cstheme="minorHAnsi"/>
          <w:color w:val="000000" w:themeColor="text1"/>
          <w:sz w:val="22"/>
          <w:szCs w:val="22"/>
        </w:rPr>
        <w:t xml:space="preserve">We invite candidates from around the globe to apply and </w:t>
      </w:r>
      <w:r w:rsidR="0070328C" w:rsidRPr="0070328C">
        <w:rPr>
          <w:rStyle w:val="Emphasis"/>
          <w:rFonts w:asciiTheme="minorHAnsi" w:hAnsiTheme="minorHAnsi" w:cstheme="minorHAnsi"/>
          <w:i w:val="0"/>
          <w:iCs w:val="0"/>
          <w:color w:val="000000"/>
          <w:sz w:val="22"/>
          <w:szCs w:val="22"/>
        </w:rPr>
        <w:t>w</w:t>
      </w:r>
      <w:r w:rsidR="0070328C" w:rsidRPr="0070328C">
        <w:rPr>
          <w:rStyle w:val="Emphasis"/>
          <w:rFonts w:asciiTheme="minorHAnsi" w:hAnsiTheme="minorHAnsi" w:cstheme="minorHAnsi"/>
          <w:i w:val="0"/>
          <w:iCs w:val="0"/>
          <w:color w:val="000000"/>
          <w:sz w:val="22"/>
          <w:szCs w:val="22"/>
        </w:rPr>
        <w:t>e are proud to be an equal opportunity and inclusive employer</w:t>
      </w:r>
      <w:r w:rsidR="0070328C" w:rsidRPr="0070328C">
        <w:rPr>
          <w:rStyle w:val="Emphasis"/>
          <w:rFonts w:asciiTheme="minorHAnsi" w:hAnsiTheme="minorHAnsi" w:cstheme="minorHAnsi"/>
          <w:i w:val="0"/>
          <w:iCs w:val="0"/>
          <w:color w:val="000000"/>
          <w:sz w:val="22"/>
          <w:szCs w:val="22"/>
        </w:rPr>
        <w:t>.</w:t>
      </w:r>
    </w:p>
    <w:p w14:paraId="7416740C" w14:textId="25FF421B" w:rsidR="00551B91" w:rsidRPr="0070328C" w:rsidRDefault="00CF3E07" w:rsidP="00B33303">
      <w:pPr>
        <w:shd w:val="clear" w:color="auto" w:fill="FFFFFF"/>
        <w:spacing w:after="0" w:line="240" w:lineRule="auto"/>
        <w:jc w:val="both"/>
        <w:rPr>
          <w:rFonts w:eastAsia="Times New Roman" w:cstheme="minorHAnsi"/>
          <w:b/>
          <w:bCs/>
          <w:color w:val="000000"/>
          <w:sz w:val="28"/>
          <w:szCs w:val="28"/>
        </w:rPr>
      </w:pPr>
      <w:r w:rsidRPr="0070328C">
        <w:rPr>
          <w:rFonts w:eastAsia="Times New Roman"/>
          <w:b/>
          <w:bCs/>
          <w:color w:val="000000" w:themeColor="text1"/>
          <w:sz w:val="24"/>
          <w:szCs w:val="24"/>
        </w:rPr>
        <w:t>Information and Technology Solutions (ITS</w:t>
      </w:r>
      <w:r w:rsidRPr="0070328C">
        <w:rPr>
          <w:rFonts w:eastAsia="Times New Roman" w:cstheme="minorHAnsi"/>
          <w:b/>
          <w:bCs/>
          <w:color w:val="000000"/>
          <w:sz w:val="24"/>
          <w:szCs w:val="24"/>
        </w:rPr>
        <w:t>)</w:t>
      </w:r>
      <w:r w:rsidR="00551B91" w:rsidRPr="0070328C">
        <w:rPr>
          <w:rFonts w:eastAsia="Times New Roman" w:cstheme="minorHAnsi"/>
          <w:b/>
          <w:bCs/>
          <w:color w:val="000000"/>
          <w:sz w:val="24"/>
          <w:szCs w:val="24"/>
        </w:rPr>
        <w:t xml:space="preserve"> Vice Presidency Context</w:t>
      </w:r>
    </w:p>
    <w:p w14:paraId="5FCA65EF" w14:textId="3B5394E3" w:rsidR="00551B91" w:rsidRDefault="00CF3E07" w:rsidP="3F70B8D3">
      <w:pPr>
        <w:shd w:val="clear" w:color="auto" w:fill="FFFFFF" w:themeFill="background1"/>
        <w:spacing w:after="0" w:line="240" w:lineRule="auto"/>
        <w:jc w:val="both"/>
        <w:rPr>
          <w:rFonts w:eastAsia="Times New Roman"/>
          <w:color w:val="000000"/>
        </w:rPr>
      </w:pPr>
      <w:r w:rsidRPr="0070328C">
        <w:rPr>
          <w:rFonts w:eastAsia="Times New Roman"/>
          <w:color w:val="000000" w:themeColor="text1"/>
        </w:rPr>
        <w:t>ITS</w:t>
      </w:r>
      <w:r w:rsidR="00551B91" w:rsidRPr="0070328C">
        <w:rPr>
          <w:rFonts w:eastAsia="Times New Roman"/>
          <w:color w:val="000000" w:themeColor="text1"/>
        </w:rPr>
        <w:t xml:space="preserve"> enables the mission of </w:t>
      </w:r>
      <w:r w:rsidR="326C753E" w:rsidRPr="0070328C">
        <w:rPr>
          <w:rFonts w:eastAsia="Times New Roman"/>
          <w:color w:val="000000" w:themeColor="text1"/>
        </w:rPr>
        <w:t xml:space="preserve">the </w:t>
      </w:r>
      <w:r w:rsidR="00551B91" w:rsidRPr="0070328C">
        <w:rPr>
          <w:rFonts w:eastAsia="Times New Roman"/>
          <w:color w:val="000000" w:themeColor="text1"/>
        </w:rPr>
        <w:t>WBG by delivering information and technolog</w:t>
      </w:r>
      <w:r w:rsidR="503489E9" w:rsidRPr="0070328C">
        <w:rPr>
          <w:rFonts w:eastAsia="Times New Roman"/>
          <w:color w:val="000000" w:themeColor="text1"/>
        </w:rPr>
        <w:t>y</w:t>
      </w:r>
      <w:r w:rsidR="00551B91" w:rsidRPr="0070328C">
        <w:rPr>
          <w:rFonts w:eastAsia="Times New Roman"/>
          <w:color w:val="000000" w:themeColor="text1"/>
        </w:rPr>
        <w:t xml:space="preserve"> to WBG staff in over 150 locations.</w:t>
      </w:r>
      <w:r w:rsidR="3C33828B" w:rsidRPr="0070328C">
        <w:rPr>
          <w:rFonts w:eastAsia="Times New Roman"/>
          <w:color w:val="000000" w:themeColor="text1"/>
        </w:rPr>
        <w:t xml:space="preserve"> </w:t>
      </w:r>
      <w:r w:rsidR="00551B91" w:rsidRPr="0070328C">
        <w:rPr>
          <w:rFonts w:eastAsia="Times New Roman"/>
          <w:color w:val="000000" w:themeColor="text1"/>
        </w:rPr>
        <w:t xml:space="preserve">ITS </w:t>
      </w:r>
      <w:r w:rsidR="08A21BD6" w:rsidRPr="0070328C">
        <w:rPr>
          <w:rFonts w:eastAsia="Times New Roman"/>
          <w:color w:val="000000" w:themeColor="text1"/>
        </w:rPr>
        <w:t>d</w:t>
      </w:r>
      <w:r w:rsidR="4396A040" w:rsidRPr="0070328C">
        <w:rPr>
          <w:rFonts w:eastAsia="Times New Roman"/>
          <w:color w:val="000000" w:themeColor="text1"/>
        </w:rPr>
        <w:t>evelops, implements</w:t>
      </w:r>
      <w:r w:rsidR="3DB43BFE" w:rsidRPr="0070328C">
        <w:rPr>
          <w:rFonts w:eastAsia="Times New Roman"/>
          <w:color w:val="000000" w:themeColor="text1"/>
        </w:rPr>
        <w:t>,</w:t>
      </w:r>
      <w:r w:rsidR="4396A040" w:rsidRPr="0070328C">
        <w:rPr>
          <w:rFonts w:eastAsia="Times New Roman"/>
          <w:color w:val="000000" w:themeColor="text1"/>
        </w:rPr>
        <w:t xml:space="preserve"> and maintains </w:t>
      </w:r>
      <w:r w:rsidR="7DF919B8" w:rsidRPr="0070328C">
        <w:rPr>
          <w:rFonts w:eastAsia="Times New Roman"/>
          <w:color w:val="000000" w:themeColor="text1"/>
        </w:rPr>
        <w:t>information</w:t>
      </w:r>
      <w:r w:rsidR="00551B91" w:rsidRPr="0070328C">
        <w:rPr>
          <w:rFonts w:eastAsia="Times New Roman"/>
          <w:color w:val="000000" w:themeColor="text1"/>
        </w:rPr>
        <w:t xml:space="preserve"> and </w:t>
      </w:r>
      <w:r w:rsidR="4396A040" w:rsidRPr="0070328C">
        <w:rPr>
          <w:rFonts w:eastAsia="Times New Roman"/>
          <w:color w:val="000000" w:themeColor="text1"/>
        </w:rPr>
        <w:t>t</w:t>
      </w:r>
      <w:r w:rsidR="00551B91" w:rsidRPr="0070328C">
        <w:rPr>
          <w:rFonts w:eastAsia="Times New Roman"/>
          <w:color w:val="000000" w:themeColor="text1"/>
        </w:rPr>
        <w:t>echnolog</w:t>
      </w:r>
      <w:r w:rsidR="6E0105FC" w:rsidRPr="0070328C">
        <w:rPr>
          <w:rFonts w:eastAsia="Times New Roman"/>
          <w:color w:val="000000" w:themeColor="text1"/>
        </w:rPr>
        <w:t>y solutions</w:t>
      </w:r>
      <w:r w:rsidR="00551B91" w:rsidRPr="0070328C">
        <w:rPr>
          <w:rFonts w:eastAsia="Times New Roman"/>
          <w:color w:val="000000" w:themeColor="text1"/>
        </w:rPr>
        <w:t xml:space="preserve"> to achieve three high-level outcomes: business enablement, by providing </w:t>
      </w:r>
      <w:r w:rsidR="00A75A4F" w:rsidRPr="0070328C">
        <w:rPr>
          <w:rFonts w:eastAsia="Times New Roman"/>
          <w:color w:val="000000" w:themeColor="text1"/>
        </w:rPr>
        <w:t>WBG</w:t>
      </w:r>
      <w:r w:rsidR="00551B91" w:rsidRPr="0070328C">
        <w:rPr>
          <w:rFonts w:eastAsia="Times New Roman"/>
          <w:color w:val="000000" w:themeColor="text1"/>
        </w:rPr>
        <w:t xml:space="preserve"> units with innovative tools and technologies to transform how they deliver value for clients; empowerment &amp; effectiveness, by ensuring all </w:t>
      </w:r>
      <w:r w:rsidR="113AB5B5" w:rsidRPr="0070328C">
        <w:rPr>
          <w:rFonts w:eastAsia="Times New Roman"/>
          <w:color w:val="000000" w:themeColor="text1"/>
        </w:rPr>
        <w:t>WBG</w:t>
      </w:r>
      <w:r w:rsidR="00551B91" w:rsidRPr="0070328C">
        <w:rPr>
          <w:rFonts w:eastAsia="Times New Roman"/>
          <w:color w:val="000000" w:themeColor="text1"/>
        </w:rPr>
        <w:t xml:space="preserve"> staff are connected, able to find information, and </w:t>
      </w:r>
      <w:r w:rsidR="7922AA40" w:rsidRPr="0070328C">
        <w:rPr>
          <w:rFonts w:eastAsia="Times New Roman"/>
          <w:color w:val="000000" w:themeColor="text1"/>
        </w:rPr>
        <w:t xml:space="preserve">are </w:t>
      </w:r>
      <w:r w:rsidR="00551B91" w:rsidRPr="0070328C">
        <w:rPr>
          <w:rFonts w:eastAsia="Times New Roman"/>
          <w:color w:val="000000" w:themeColor="text1"/>
        </w:rPr>
        <w:t xml:space="preserve">productive to accelerate the delivery of development solutions globally; and resilience, by equipping the </w:t>
      </w:r>
      <w:r w:rsidR="00A75A4F" w:rsidRPr="0070328C">
        <w:rPr>
          <w:rFonts w:eastAsia="Times New Roman"/>
          <w:color w:val="000000" w:themeColor="text1"/>
        </w:rPr>
        <w:t>WBG</w:t>
      </w:r>
      <w:r w:rsidR="00551B91" w:rsidRPr="0070328C">
        <w:rPr>
          <w:rFonts w:eastAsia="Times New Roman"/>
          <w:color w:val="000000" w:themeColor="text1"/>
        </w:rPr>
        <w:t xml:space="preserve"> to provide risk-based cybersecurity</w:t>
      </w:r>
      <w:r w:rsidR="2D9ABB8A" w:rsidRPr="0070328C">
        <w:rPr>
          <w:rFonts w:eastAsia="Times New Roman"/>
          <w:color w:val="000000" w:themeColor="text1"/>
        </w:rPr>
        <w:t xml:space="preserve">, </w:t>
      </w:r>
      <w:r w:rsidR="00551B91" w:rsidRPr="0070328C">
        <w:rPr>
          <w:rFonts w:eastAsia="Times New Roman"/>
          <w:color w:val="000000" w:themeColor="text1"/>
        </w:rPr>
        <w:t>robust data protection</w:t>
      </w:r>
      <w:r w:rsidR="294FA93D" w:rsidRPr="0070328C">
        <w:rPr>
          <w:rFonts w:eastAsia="Times New Roman"/>
          <w:color w:val="000000" w:themeColor="text1"/>
        </w:rPr>
        <w:t>,</w:t>
      </w:r>
      <w:r w:rsidR="00551B91" w:rsidRPr="0070328C">
        <w:rPr>
          <w:rFonts w:eastAsia="Times New Roman"/>
          <w:color w:val="000000" w:themeColor="text1"/>
        </w:rPr>
        <w:t xml:space="preserve"> </w:t>
      </w:r>
      <w:r w:rsidR="070A1D6D" w:rsidRPr="0070328C">
        <w:rPr>
          <w:rFonts w:eastAsia="Times New Roman"/>
          <w:color w:val="000000" w:themeColor="text1"/>
        </w:rPr>
        <w:t>and information governance</w:t>
      </w:r>
      <w:r w:rsidR="00551B91" w:rsidRPr="0070328C">
        <w:rPr>
          <w:rFonts w:eastAsia="Times New Roman"/>
          <w:color w:val="000000" w:themeColor="text1"/>
        </w:rPr>
        <w:t>.</w:t>
      </w:r>
    </w:p>
    <w:p w14:paraId="72B566E6" w14:textId="77777777" w:rsidR="00551B91" w:rsidRDefault="00551B91" w:rsidP="00B33303">
      <w:pPr>
        <w:shd w:val="clear" w:color="auto" w:fill="FFFFFF"/>
        <w:spacing w:after="0" w:line="240" w:lineRule="auto"/>
        <w:jc w:val="both"/>
        <w:rPr>
          <w:rFonts w:eastAsia="Times New Roman" w:cstheme="minorHAnsi"/>
          <w:b/>
          <w:bCs/>
          <w:color w:val="000000"/>
        </w:rPr>
      </w:pPr>
    </w:p>
    <w:p w14:paraId="34398708" w14:textId="77777777" w:rsidR="00551B91" w:rsidRPr="00927591" w:rsidRDefault="00551B91" w:rsidP="2BB5A88D">
      <w:pPr>
        <w:shd w:val="clear" w:color="auto" w:fill="FFFFFF" w:themeFill="background1"/>
        <w:spacing w:after="0" w:line="240" w:lineRule="auto"/>
        <w:jc w:val="both"/>
        <w:rPr>
          <w:rFonts w:eastAsia="Times New Roman"/>
          <w:b/>
          <w:bCs/>
          <w:color w:val="000000"/>
          <w:sz w:val="24"/>
          <w:szCs w:val="24"/>
        </w:rPr>
      </w:pPr>
      <w:r w:rsidRPr="2BB5A88D">
        <w:rPr>
          <w:rFonts w:eastAsia="Times New Roman"/>
          <w:b/>
          <w:bCs/>
          <w:color w:val="000000" w:themeColor="text1"/>
          <w:sz w:val="24"/>
          <w:szCs w:val="24"/>
        </w:rPr>
        <w:t>World Bank Group Archives and Records (ITSAR) Context</w:t>
      </w:r>
    </w:p>
    <w:p w14:paraId="3729D456" w14:textId="4FB1EE21" w:rsidR="00551B91" w:rsidRDefault="00551B91" w:rsidP="3F70B8D3">
      <w:pPr>
        <w:autoSpaceDE w:val="0"/>
        <w:autoSpaceDN w:val="0"/>
        <w:adjustRightInd w:val="0"/>
        <w:spacing w:after="0" w:line="240" w:lineRule="auto"/>
        <w:jc w:val="both"/>
        <w:rPr>
          <w:rFonts w:eastAsiaTheme="minorEastAsia"/>
        </w:rPr>
      </w:pPr>
      <w:r w:rsidRPr="00927591">
        <w:rPr>
          <w:rFonts w:eastAsia="Times New Roman"/>
          <w:color w:val="000000" w:themeColor="text1"/>
        </w:rPr>
        <w:t xml:space="preserve">ITSAR protects the institutional memory of the </w:t>
      </w:r>
      <w:r>
        <w:rPr>
          <w:rFonts w:eastAsia="Times New Roman"/>
          <w:color w:val="000000" w:themeColor="text1"/>
        </w:rPr>
        <w:t>WBG</w:t>
      </w:r>
      <w:r w:rsidRPr="00927591">
        <w:rPr>
          <w:rFonts w:eastAsia="Times New Roman"/>
          <w:color w:val="000000" w:themeColor="text1"/>
        </w:rPr>
        <w:t xml:space="preserve"> and</w:t>
      </w:r>
      <w:r w:rsidRPr="00927591">
        <w:rPr>
          <w:rFonts w:eastAsiaTheme="minorEastAsia"/>
        </w:rPr>
        <w:t xml:space="preserve"> provides</w:t>
      </w:r>
      <w:r w:rsidRPr="2BB5A88D">
        <w:rPr>
          <w:rFonts w:eastAsiaTheme="minorEastAsia"/>
        </w:rPr>
        <w:t xml:space="preserve"> staff and the global community with access to relevant information and services to foster transparency and accountability</w:t>
      </w:r>
      <w:r w:rsidR="09242F1E" w:rsidRPr="3F70B8D3">
        <w:rPr>
          <w:rFonts w:eastAsiaTheme="minorEastAsia"/>
        </w:rPr>
        <w:t>,</w:t>
      </w:r>
      <w:r w:rsidRPr="2BB5A88D">
        <w:rPr>
          <w:rFonts w:eastAsiaTheme="minorEastAsia"/>
        </w:rPr>
        <w:t xml:space="preserve"> and reflect history to enable effective delivery of development solutions. </w:t>
      </w:r>
      <w:r w:rsidRPr="2BB5A88D">
        <w:rPr>
          <w:rFonts w:eastAsia="Times New Roman"/>
          <w:color w:val="000000" w:themeColor="text1"/>
        </w:rPr>
        <w:t>We aspire to transform information governance across the entire lifecycle of information and illuminate WBG history to enable effective and accountable operations.</w:t>
      </w:r>
      <w:r w:rsidRPr="2BB5A88D">
        <w:rPr>
          <w:rFonts w:eastAsiaTheme="minorEastAsia"/>
        </w:rPr>
        <w:t xml:space="preserve"> ITSAR is responsible for: Management of Records Policy (including advisory services, policy compliance outreach and training, appraisal / retention schedules, and requirements for systems); providing records management support to WBG Institutions and staff; off-site records center services; implementation of the World Bank Policy on Access to Information; </w:t>
      </w:r>
      <w:r w:rsidRPr="2BB5A88D">
        <w:rPr>
          <w:rFonts w:eastAsiaTheme="minorEastAsia"/>
        </w:rPr>
        <w:lastRenderedPageBreak/>
        <w:t>crafting knowledge products that promote the history of the WBG and the archival holdings; and the preservation and intellectual control required to maintain access to archival records.</w:t>
      </w:r>
    </w:p>
    <w:p w14:paraId="5AC3BBD6" w14:textId="77777777" w:rsidR="00551B91" w:rsidRPr="006713BF" w:rsidRDefault="00551B91" w:rsidP="2BB5A88D">
      <w:pPr>
        <w:spacing w:after="0" w:line="240" w:lineRule="auto"/>
        <w:jc w:val="both"/>
        <w:outlineLvl w:val="1"/>
        <w:rPr>
          <w:rFonts w:eastAsia="Times New Roman"/>
          <w:color w:val="000000"/>
        </w:rPr>
      </w:pPr>
    </w:p>
    <w:p w14:paraId="44497AD1" w14:textId="5B572EBF" w:rsidR="00551B91" w:rsidRPr="0070328C" w:rsidRDefault="00551B91" w:rsidP="00B33303">
      <w:pPr>
        <w:spacing w:after="0" w:line="240" w:lineRule="auto"/>
        <w:jc w:val="both"/>
        <w:rPr>
          <w:rFonts w:eastAsia="Times New Roman"/>
          <w:color w:val="000000" w:themeColor="text1"/>
        </w:rPr>
      </w:pPr>
      <w:r w:rsidRPr="00412442">
        <w:rPr>
          <w:rFonts w:eastAsia="Times New Roman"/>
          <w:color w:val="000000" w:themeColor="text1"/>
        </w:rPr>
        <w:t xml:space="preserve">We are a diverse and inclusive team that solves challenges with creativity and curiosity, </w:t>
      </w:r>
      <w:r w:rsidR="00CF3E07">
        <w:rPr>
          <w:rFonts w:eastAsia="Times New Roman"/>
          <w:color w:val="000000" w:themeColor="text1"/>
        </w:rPr>
        <w:t>embraces</w:t>
      </w:r>
      <w:r w:rsidRPr="00412442">
        <w:rPr>
          <w:rFonts w:eastAsia="Times New Roman"/>
          <w:color w:val="000000" w:themeColor="text1"/>
        </w:rPr>
        <w:t xml:space="preserve"> technology to increase the impact our archival holdings can create, and </w:t>
      </w:r>
      <w:r w:rsidR="00CF3E07">
        <w:rPr>
          <w:rFonts w:eastAsia="Times New Roman"/>
          <w:color w:val="000000" w:themeColor="text1"/>
        </w:rPr>
        <w:t>brings</w:t>
      </w:r>
      <w:r w:rsidRPr="00412442">
        <w:rPr>
          <w:rFonts w:eastAsia="Times New Roman"/>
          <w:color w:val="000000" w:themeColor="text1"/>
        </w:rPr>
        <w:t xml:space="preserve"> effective information governance to the WBG’s current information assets</w:t>
      </w:r>
      <w:r>
        <w:rPr>
          <w:rFonts w:eastAsia="Times New Roman"/>
          <w:color w:val="000000" w:themeColor="text1"/>
        </w:rPr>
        <w:t xml:space="preserve">. </w:t>
      </w:r>
      <w:r w:rsidRPr="2BB5A88D">
        <w:rPr>
          <w:rFonts w:eastAsia="Times New Roman"/>
          <w:color w:val="000000" w:themeColor="text1"/>
        </w:rPr>
        <w:t xml:space="preserve">We provide meaningful work, an open and collaborative environment, innovative and interesting challenges to solve, and an opportunity to develop your skills while contributing to the mission of the WBG. </w:t>
      </w:r>
      <w:r>
        <w:rPr>
          <w:rFonts w:eastAsia="Times New Roman"/>
          <w:color w:val="000000" w:themeColor="text1"/>
        </w:rPr>
        <w:t xml:space="preserve"> </w:t>
      </w:r>
      <w:r w:rsidRPr="00513B1D">
        <w:rPr>
          <w:rFonts w:eastAsia="Times New Roman" w:cstheme="minorHAnsi"/>
          <w:color w:val="000000"/>
        </w:rPr>
        <w:t xml:space="preserve">We value </w:t>
      </w:r>
      <w:r>
        <w:rPr>
          <w:rFonts w:eastAsia="Times New Roman" w:cstheme="minorHAnsi"/>
          <w:color w:val="000000"/>
        </w:rPr>
        <w:t>collaboration</w:t>
      </w:r>
      <w:r w:rsidRPr="00513B1D">
        <w:rPr>
          <w:rFonts w:eastAsia="Times New Roman" w:cstheme="minorHAnsi"/>
          <w:color w:val="000000"/>
        </w:rPr>
        <w:t xml:space="preserve">, openness, </w:t>
      </w:r>
      <w:r w:rsidR="008E1DD7" w:rsidRPr="00513B1D">
        <w:rPr>
          <w:rFonts w:eastAsia="Times New Roman" w:cstheme="minorHAnsi"/>
          <w:color w:val="000000"/>
        </w:rPr>
        <w:t>curiosity,</w:t>
      </w:r>
      <w:r w:rsidRPr="00513B1D">
        <w:rPr>
          <w:rFonts w:eastAsia="Times New Roman" w:cstheme="minorHAnsi"/>
          <w:color w:val="000000"/>
        </w:rPr>
        <w:t xml:space="preserve"> and perseverance</w:t>
      </w:r>
      <w:r>
        <w:rPr>
          <w:rFonts w:eastAsia="Times New Roman" w:cstheme="minorHAnsi"/>
          <w:color w:val="000000"/>
        </w:rPr>
        <w:t>!</w:t>
      </w:r>
      <w:r w:rsidRPr="00513B1D">
        <w:rPr>
          <w:rFonts w:eastAsia="Times New Roman" w:cstheme="minorHAnsi"/>
          <w:color w:val="000000"/>
        </w:rPr>
        <w:t xml:space="preserve"> </w:t>
      </w:r>
      <w:r>
        <w:rPr>
          <w:rFonts w:eastAsia="Times New Roman" w:cstheme="minorHAnsi"/>
          <w:color w:val="000000"/>
        </w:rPr>
        <w:t xml:space="preserve">For more information about ITSAR, visit </w:t>
      </w:r>
      <w:hyperlink r:id="rId7" w:history="1">
        <w:r w:rsidRPr="00CF04F7">
          <w:rPr>
            <w:rStyle w:val="Hyperlink"/>
            <w:rFonts w:eastAsia="Times New Roman" w:cstheme="minorHAnsi"/>
          </w:rPr>
          <w:t>https://www.worldbank.org/en/archive/aboutus</w:t>
        </w:r>
      </w:hyperlink>
    </w:p>
    <w:p w14:paraId="51F98029" w14:textId="77777777" w:rsidR="00551B91" w:rsidRPr="0072247F" w:rsidRDefault="00551B91" w:rsidP="00B33303">
      <w:pPr>
        <w:spacing w:after="0" w:line="240" w:lineRule="auto"/>
        <w:jc w:val="both"/>
        <w:outlineLvl w:val="1"/>
        <w:rPr>
          <w:rFonts w:eastAsia="Times New Roman" w:cstheme="minorHAnsi"/>
          <w:b/>
          <w:bCs/>
          <w:color w:val="000000"/>
          <w:sz w:val="24"/>
          <w:szCs w:val="24"/>
        </w:rPr>
      </w:pPr>
    </w:p>
    <w:p w14:paraId="6BB695BC" w14:textId="77777777" w:rsidR="00551B91" w:rsidRPr="0072247F" w:rsidRDefault="00551B91" w:rsidP="00B33303">
      <w:pPr>
        <w:spacing w:after="0" w:line="240" w:lineRule="auto"/>
        <w:jc w:val="both"/>
        <w:outlineLvl w:val="1"/>
        <w:rPr>
          <w:rFonts w:eastAsia="Times New Roman" w:cstheme="minorHAnsi"/>
          <w:b/>
          <w:bCs/>
          <w:color w:val="000000"/>
          <w:sz w:val="24"/>
          <w:szCs w:val="24"/>
        </w:rPr>
      </w:pPr>
      <w:r w:rsidRPr="0072247F">
        <w:rPr>
          <w:rFonts w:eastAsia="Times New Roman" w:cstheme="minorHAnsi"/>
          <w:b/>
          <w:bCs/>
          <w:color w:val="000000"/>
          <w:sz w:val="24"/>
          <w:szCs w:val="24"/>
        </w:rPr>
        <w:t xml:space="preserve">Duties </w:t>
      </w:r>
      <w:r>
        <w:rPr>
          <w:rFonts w:eastAsia="Times New Roman" w:cstheme="minorHAnsi"/>
          <w:b/>
          <w:bCs/>
          <w:color w:val="000000"/>
          <w:sz w:val="24"/>
          <w:szCs w:val="24"/>
        </w:rPr>
        <w:t>and</w:t>
      </w:r>
      <w:r w:rsidRPr="0072247F">
        <w:rPr>
          <w:rFonts w:eastAsia="Times New Roman" w:cstheme="minorHAnsi"/>
          <w:b/>
          <w:bCs/>
          <w:color w:val="000000"/>
          <w:sz w:val="24"/>
          <w:szCs w:val="24"/>
        </w:rPr>
        <w:t xml:space="preserve"> Accountabilities</w:t>
      </w:r>
    </w:p>
    <w:p w14:paraId="569B3C44" w14:textId="77777777" w:rsidR="00551B91" w:rsidRDefault="00551B91" w:rsidP="00B33303">
      <w:pPr>
        <w:spacing w:after="0"/>
        <w:jc w:val="both"/>
        <w:rPr>
          <w:rFonts w:eastAsiaTheme="minorEastAsia"/>
        </w:rPr>
      </w:pPr>
      <w:r w:rsidRPr="00DE68DB">
        <w:rPr>
          <w:rFonts w:eastAsiaTheme="minorEastAsia"/>
        </w:rPr>
        <w:t xml:space="preserve">As part of the </w:t>
      </w:r>
      <w:r w:rsidRPr="00E3148F">
        <w:rPr>
          <w:rFonts w:eastAsiaTheme="minorEastAsia"/>
          <w:b/>
          <w:bCs/>
        </w:rPr>
        <w:t>ITSAR Information Policies &amp; Records Lifecycle Governance Team</w:t>
      </w:r>
      <w:r>
        <w:rPr>
          <w:rFonts w:eastAsiaTheme="minorEastAsia"/>
        </w:rPr>
        <w:t>, the successful candidate will take part in in the following activities:</w:t>
      </w:r>
    </w:p>
    <w:p w14:paraId="1C63D6FF" w14:textId="77777777" w:rsidR="00551B91" w:rsidRPr="008C543E" w:rsidRDefault="00551B91" w:rsidP="00B33303">
      <w:pPr>
        <w:spacing w:after="0"/>
        <w:jc w:val="both"/>
        <w:rPr>
          <w:rFonts w:eastAsiaTheme="minorEastAsia"/>
        </w:rPr>
      </w:pPr>
    </w:p>
    <w:p w14:paraId="3D3BA364" w14:textId="77777777" w:rsidR="00551B91" w:rsidRPr="008C4C04" w:rsidRDefault="00551B91" w:rsidP="00B33303">
      <w:pPr>
        <w:spacing w:after="0"/>
        <w:jc w:val="both"/>
        <w:rPr>
          <w:rFonts w:eastAsiaTheme="minorEastAsia"/>
          <w:b/>
          <w:bCs/>
          <w:color w:val="4472C4" w:themeColor="accent1"/>
        </w:rPr>
      </w:pPr>
      <w:r w:rsidRPr="008C4C04">
        <w:rPr>
          <w:rFonts w:eastAsiaTheme="minorEastAsia"/>
          <w:b/>
          <w:bCs/>
          <w:color w:val="4472C4" w:themeColor="accent1"/>
        </w:rPr>
        <w:t>Policy and Information Governance</w:t>
      </w:r>
    </w:p>
    <w:p w14:paraId="33F81A5B" w14:textId="77777777" w:rsidR="00551B91" w:rsidRDefault="00551B91" w:rsidP="00B33303">
      <w:pPr>
        <w:pStyle w:val="ListParagraph"/>
        <w:numPr>
          <w:ilvl w:val="0"/>
          <w:numId w:val="6"/>
        </w:numPr>
        <w:autoSpaceDE w:val="0"/>
        <w:autoSpaceDN w:val="0"/>
        <w:adjustRightInd w:val="0"/>
        <w:spacing w:after="0" w:line="240" w:lineRule="auto"/>
        <w:jc w:val="both"/>
      </w:pPr>
      <w:r>
        <w:t>Define</w:t>
      </w:r>
      <w:r w:rsidRPr="00513B1D">
        <w:t xml:space="preserve"> and implement policies, </w:t>
      </w:r>
      <w:r>
        <w:t>procedures and</w:t>
      </w:r>
      <w:r w:rsidRPr="00513B1D">
        <w:t xml:space="preserve"> guidelines pertaining to </w:t>
      </w:r>
      <w:r>
        <w:t>records</w:t>
      </w:r>
      <w:r w:rsidRPr="00513B1D">
        <w:t xml:space="preserve"> management and</w:t>
      </w:r>
      <w:r>
        <w:t xml:space="preserve"> information</w:t>
      </w:r>
      <w:r w:rsidRPr="00513B1D">
        <w:t xml:space="preserve"> governance.</w:t>
      </w:r>
    </w:p>
    <w:p w14:paraId="5017E588" w14:textId="77777777" w:rsidR="00551B91" w:rsidRDefault="00551B91" w:rsidP="00B33303">
      <w:pPr>
        <w:autoSpaceDE w:val="0"/>
        <w:autoSpaceDN w:val="0"/>
        <w:adjustRightInd w:val="0"/>
        <w:spacing w:after="0" w:line="240" w:lineRule="auto"/>
        <w:jc w:val="both"/>
      </w:pPr>
    </w:p>
    <w:p w14:paraId="3FCD6F65" w14:textId="77777777" w:rsidR="00551B91" w:rsidRPr="008C4C04" w:rsidRDefault="00551B91" w:rsidP="00B33303">
      <w:pPr>
        <w:autoSpaceDE w:val="0"/>
        <w:autoSpaceDN w:val="0"/>
        <w:adjustRightInd w:val="0"/>
        <w:spacing w:after="0" w:line="240" w:lineRule="auto"/>
        <w:jc w:val="both"/>
        <w:rPr>
          <w:b/>
          <w:bCs/>
          <w:color w:val="4472C4" w:themeColor="accent1"/>
        </w:rPr>
      </w:pPr>
      <w:r w:rsidRPr="008C4C04">
        <w:rPr>
          <w:b/>
          <w:bCs/>
          <w:color w:val="4472C4" w:themeColor="accent1"/>
        </w:rPr>
        <w:t>Appraisal and Disposition</w:t>
      </w:r>
    </w:p>
    <w:p w14:paraId="47373920" w14:textId="17F0922D" w:rsidR="00551B91" w:rsidRDefault="00551B91" w:rsidP="00B33303">
      <w:pPr>
        <w:pStyle w:val="ListParagraph"/>
        <w:numPr>
          <w:ilvl w:val="0"/>
          <w:numId w:val="6"/>
        </w:numPr>
        <w:autoSpaceDE w:val="0"/>
        <w:autoSpaceDN w:val="0"/>
        <w:adjustRightInd w:val="0"/>
        <w:spacing w:after="0" w:line="240" w:lineRule="auto"/>
        <w:jc w:val="both"/>
      </w:pPr>
      <w:r>
        <w:t>Deliver</w:t>
      </w:r>
      <w:r w:rsidRPr="00513B1D">
        <w:t xml:space="preserve"> </w:t>
      </w:r>
      <w:r>
        <w:t>archival appraisal</w:t>
      </w:r>
      <w:r w:rsidRPr="00513B1D">
        <w:t xml:space="preserve"> </w:t>
      </w:r>
      <w:r>
        <w:t xml:space="preserve">and transfer </w:t>
      </w:r>
      <w:r w:rsidRPr="00513B1D">
        <w:t>services</w:t>
      </w:r>
      <w:r>
        <w:t xml:space="preserve"> such as writing</w:t>
      </w:r>
      <w:r w:rsidRPr="00513B1D">
        <w:t xml:space="preserve"> records retention and disposition schedules</w:t>
      </w:r>
      <w:r>
        <w:t>,</w:t>
      </w:r>
      <w:r w:rsidRPr="00513B1D">
        <w:t xml:space="preserve"> conducting appraisal interviews and on-site visits</w:t>
      </w:r>
      <w:r>
        <w:t xml:space="preserve">, and </w:t>
      </w:r>
      <w:r w:rsidRPr="00513B1D">
        <w:t>analyzing business functions</w:t>
      </w:r>
      <w:r>
        <w:t xml:space="preserve"> and processes</w:t>
      </w:r>
      <w:r w:rsidRPr="00513B1D">
        <w:t xml:space="preserve"> to </w:t>
      </w:r>
      <w:r>
        <w:t>d</w:t>
      </w:r>
      <w:r w:rsidR="3B3D4DD6">
        <w:t>etermine</w:t>
      </w:r>
      <w:r w:rsidRPr="00513B1D">
        <w:t xml:space="preserve"> the value of records</w:t>
      </w:r>
      <w:r>
        <w:t>.</w:t>
      </w:r>
    </w:p>
    <w:p w14:paraId="2C976CBF" w14:textId="77777777" w:rsidR="00551B91" w:rsidRDefault="00551B91" w:rsidP="00B33303">
      <w:pPr>
        <w:pStyle w:val="ListParagraph"/>
        <w:numPr>
          <w:ilvl w:val="0"/>
          <w:numId w:val="6"/>
        </w:numPr>
        <w:autoSpaceDE w:val="0"/>
        <w:autoSpaceDN w:val="0"/>
        <w:adjustRightInd w:val="0"/>
        <w:spacing w:after="0" w:line="240" w:lineRule="auto"/>
        <w:jc w:val="both"/>
      </w:pPr>
      <w:r>
        <w:t>I</w:t>
      </w:r>
      <w:r w:rsidRPr="00513B1D">
        <w:t>mplement records retention and disposition schedules</w:t>
      </w:r>
      <w:r>
        <w:t>.</w:t>
      </w:r>
      <w:r w:rsidRPr="00513B1D">
        <w:t xml:space="preserve"> </w:t>
      </w:r>
    </w:p>
    <w:p w14:paraId="4833B959" w14:textId="77777777" w:rsidR="00551B91" w:rsidRDefault="00551B91" w:rsidP="00B33303">
      <w:pPr>
        <w:pStyle w:val="ListParagraph"/>
        <w:numPr>
          <w:ilvl w:val="0"/>
          <w:numId w:val="6"/>
        </w:numPr>
        <w:autoSpaceDE w:val="0"/>
        <w:autoSpaceDN w:val="0"/>
        <w:adjustRightInd w:val="0"/>
        <w:spacing w:after="0" w:line="240" w:lineRule="auto"/>
        <w:jc w:val="both"/>
      </w:pPr>
      <w:r>
        <w:t>Guide</w:t>
      </w:r>
      <w:r w:rsidRPr="00513B1D">
        <w:t xml:space="preserve"> clients on applying </w:t>
      </w:r>
      <w:r>
        <w:t>the appropriate</w:t>
      </w:r>
      <w:r w:rsidRPr="00513B1D">
        <w:t xml:space="preserve"> dispos</w:t>
      </w:r>
      <w:r>
        <w:t>ition</w:t>
      </w:r>
      <w:r w:rsidRPr="00513B1D">
        <w:t xml:space="preserve"> authorities to their records.</w:t>
      </w:r>
    </w:p>
    <w:p w14:paraId="035A5CA2" w14:textId="4E9FFA92" w:rsidR="00551B91" w:rsidRDefault="00551B91" w:rsidP="00D51440">
      <w:pPr>
        <w:pStyle w:val="ListParagraph"/>
        <w:numPr>
          <w:ilvl w:val="0"/>
          <w:numId w:val="6"/>
        </w:numPr>
        <w:autoSpaceDE w:val="0"/>
        <w:autoSpaceDN w:val="0"/>
        <w:adjustRightInd w:val="0"/>
        <w:spacing w:after="0" w:line="240" w:lineRule="auto"/>
        <w:jc w:val="both"/>
      </w:pPr>
      <w:r>
        <w:t xml:space="preserve">Apply innovative </w:t>
      </w:r>
      <w:r w:rsidR="0D027DC2">
        <w:t>artificial intelligence</w:t>
      </w:r>
      <w:r>
        <w:t xml:space="preserve"> and machine learning technologies for the classification and appraisal of digital records.</w:t>
      </w:r>
    </w:p>
    <w:p w14:paraId="3CA06966" w14:textId="77777777" w:rsidR="00551B91" w:rsidRDefault="00551B91" w:rsidP="00A84253">
      <w:pPr>
        <w:pStyle w:val="ListParagraph"/>
        <w:numPr>
          <w:ilvl w:val="0"/>
          <w:numId w:val="6"/>
        </w:numPr>
        <w:autoSpaceDE w:val="0"/>
        <w:autoSpaceDN w:val="0"/>
        <w:adjustRightInd w:val="0"/>
        <w:spacing w:after="0" w:line="240" w:lineRule="auto"/>
        <w:jc w:val="both"/>
      </w:pPr>
      <w:r>
        <w:t>Participate in IT decommissioning projects.</w:t>
      </w:r>
    </w:p>
    <w:p w14:paraId="70F850E2" w14:textId="77777777" w:rsidR="00551B91" w:rsidRDefault="00551B91" w:rsidP="00B33303">
      <w:pPr>
        <w:autoSpaceDE w:val="0"/>
        <w:autoSpaceDN w:val="0"/>
        <w:adjustRightInd w:val="0"/>
        <w:spacing w:after="0" w:line="240" w:lineRule="auto"/>
        <w:jc w:val="both"/>
      </w:pPr>
    </w:p>
    <w:p w14:paraId="0143DE59" w14:textId="77777777" w:rsidR="00551B91" w:rsidRPr="00AC26D7" w:rsidRDefault="00551B91" w:rsidP="00B33303">
      <w:pPr>
        <w:spacing w:after="0"/>
        <w:jc w:val="both"/>
        <w:rPr>
          <w:rFonts w:eastAsiaTheme="minorEastAsia"/>
          <w:b/>
          <w:bCs/>
          <w:color w:val="4472C4" w:themeColor="accent1"/>
        </w:rPr>
      </w:pPr>
      <w:r>
        <w:rPr>
          <w:rFonts w:eastAsiaTheme="minorEastAsia"/>
          <w:b/>
          <w:bCs/>
          <w:color w:val="4472C4" w:themeColor="accent1"/>
        </w:rPr>
        <w:t>Application of R</w:t>
      </w:r>
      <w:r w:rsidRPr="00AC26D7">
        <w:rPr>
          <w:rFonts w:eastAsiaTheme="minorEastAsia"/>
          <w:b/>
          <w:bCs/>
          <w:color w:val="4472C4" w:themeColor="accent1"/>
        </w:rPr>
        <w:t xml:space="preserve">ecords </w:t>
      </w:r>
      <w:r>
        <w:rPr>
          <w:rFonts w:eastAsiaTheme="minorEastAsia"/>
          <w:b/>
          <w:bCs/>
          <w:color w:val="4472C4" w:themeColor="accent1"/>
        </w:rPr>
        <w:t>M</w:t>
      </w:r>
      <w:r w:rsidRPr="00AC26D7">
        <w:rPr>
          <w:rFonts w:eastAsiaTheme="minorEastAsia"/>
          <w:b/>
          <w:bCs/>
          <w:color w:val="4472C4" w:themeColor="accent1"/>
        </w:rPr>
        <w:t xml:space="preserve">anagement </w:t>
      </w:r>
      <w:r>
        <w:rPr>
          <w:rFonts w:eastAsiaTheme="minorEastAsia"/>
          <w:b/>
          <w:bCs/>
          <w:color w:val="4472C4" w:themeColor="accent1"/>
        </w:rPr>
        <w:t>C</w:t>
      </w:r>
      <w:r w:rsidRPr="00AC26D7">
        <w:rPr>
          <w:rFonts w:eastAsiaTheme="minorEastAsia"/>
          <w:b/>
          <w:bCs/>
          <w:color w:val="4472C4" w:themeColor="accent1"/>
        </w:rPr>
        <w:t xml:space="preserve">ontrols to WBG </w:t>
      </w:r>
      <w:r>
        <w:rPr>
          <w:rFonts w:eastAsiaTheme="minorEastAsia"/>
          <w:b/>
          <w:bCs/>
          <w:color w:val="4472C4" w:themeColor="accent1"/>
        </w:rPr>
        <w:t>A</w:t>
      </w:r>
      <w:r w:rsidRPr="00AC26D7">
        <w:rPr>
          <w:rFonts w:eastAsiaTheme="minorEastAsia"/>
          <w:b/>
          <w:bCs/>
          <w:color w:val="4472C4" w:themeColor="accent1"/>
        </w:rPr>
        <w:t xml:space="preserve">pplications </w:t>
      </w:r>
    </w:p>
    <w:p w14:paraId="23B5B3B5" w14:textId="77777777" w:rsidR="00551B91" w:rsidRDefault="00551B91" w:rsidP="00B33303">
      <w:pPr>
        <w:pStyle w:val="ListParagraph"/>
        <w:numPr>
          <w:ilvl w:val="0"/>
          <w:numId w:val="6"/>
        </w:numPr>
        <w:autoSpaceDE w:val="0"/>
        <w:autoSpaceDN w:val="0"/>
        <w:adjustRightInd w:val="0"/>
        <w:spacing w:after="0" w:line="240" w:lineRule="auto"/>
        <w:jc w:val="both"/>
      </w:pPr>
      <w:r w:rsidRPr="00513B1D">
        <w:t xml:space="preserve">Manage </w:t>
      </w:r>
      <w:r>
        <w:t>the retention and disposition</w:t>
      </w:r>
      <w:r w:rsidRPr="00513B1D">
        <w:t xml:space="preserve"> role</w:t>
      </w:r>
      <w:r>
        <w:t>s</w:t>
      </w:r>
      <w:r w:rsidRPr="00513B1D">
        <w:t xml:space="preserve"> in</w:t>
      </w:r>
      <w:r>
        <w:t xml:space="preserve"> the</w:t>
      </w:r>
      <w:r w:rsidRPr="00513B1D">
        <w:t xml:space="preserve"> </w:t>
      </w:r>
      <w:r>
        <w:t xml:space="preserve">Microsoft Compliance Center </w:t>
      </w:r>
      <w:r w:rsidRPr="00513B1D">
        <w:t xml:space="preserve">to perform </w:t>
      </w:r>
      <w:r>
        <w:t>information governance tasks</w:t>
      </w:r>
      <w:r w:rsidRPr="00513B1D">
        <w:t xml:space="preserve">, including retention policy and label creation and </w:t>
      </w:r>
      <w:r>
        <w:t>administration</w:t>
      </w:r>
      <w:r w:rsidRPr="00513B1D">
        <w:t xml:space="preserve">, management of disposition reviews and legal holds, record destruction, reporting, </w:t>
      </w:r>
      <w:r>
        <w:t xml:space="preserve">creation of trainable classifiers, </w:t>
      </w:r>
      <w:r w:rsidRPr="00513B1D">
        <w:t xml:space="preserve">etc., and suggest </w:t>
      </w:r>
      <w:r>
        <w:t>improvements</w:t>
      </w:r>
      <w:r w:rsidRPr="00513B1D">
        <w:t xml:space="preserve"> of the system. </w:t>
      </w:r>
    </w:p>
    <w:p w14:paraId="0CBBE327" w14:textId="5FB2F58F" w:rsidR="00551B91" w:rsidRDefault="00551B91" w:rsidP="005C2364">
      <w:pPr>
        <w:pStyle w:val="ListParagraph"/>
        <w:numPr>
          <w:ilvl w:val="0"/>
          <w:numId w:val="6"/>
        </w:numPr>
        <w:spacing w:after="0" w:line="240" w:lineRule="auto"/>
      </w:pPr>
      <w:r>
        <w:t xml:space="preserve">Take part in the </w:t>
      </w:r>
      <w:r w:rsidR="79E23307">
        <w:t>“</w:t>
      </w:r>
      <w:r>
        <w:t>In</w:t>
      </w:r>
      <w:r w:rsidR="12083FB1">
        <w:t>-</w:t>
      </w:r>
      <w:r>
        <w:t>Place Records Management</w:t>
      </w:r>
      <w:r w:rsidR="09DDDA0C">
        <w:t>”</w:t>
      </w:r>
      <w:r>
        <w:t xml:space="preserve"> project, which</w:t>
      </w:r>
      <w:r w:rsidRPr="00435240">
        <w:t> seeks to </w:t>
      </w:r>
      <w:r>
        <w:t>use</w:t>
      </w:r>
      <w:r w:rsidRPr="00435240">
        <w:t> an application’s existing</w:t>
      </w:r>
      <w:r>
        <w:t xml:space="preserve"> </w:t>
      </w:r>
      <w:r w:rsidRPr="00435240">
        <w:t>functionality, or develop additional capabilities, to apply controls to the records in the same location where the</w:t>
      </w:r>
      <w:r>
        <w:t>y</w:t>
      </w:r>
      <w:r w:rsidRPr="00435240">
        <w:t xml:space="preserve"> </w:t>
      </w:r>
      <w:r w:rsidR="4DECDEE0">
        <w:t>are created, used, shared, and stored</w:t>
      </w:r>
      <w:r>
        <w:t>.</w:t>
      </w:r>
      <w:r w:rsidRPr="00435240">
        <w:t xml:space="preserve"> </w:t>
      </w:r>
    </w:p>
    <w:p w14:paraId="1F05F738" w14:textId="77777777" w:rsidR="00551B91" w:rsidRDefault="00551B91" w:rsidP="00B33303">
      <w:pPr>
        <w:pStyle w:val="ListParagraph"/>
        <w:numPr>
          <w:ilvl w:val="0"/>
          <w:numId w:val="6"/>
        </w:numPr>
        <w:spacing w:after="0" w:line="240" w:lineRule="auto"/>
        <w:jc w:val="both"/>
      </w:pPr>
      <w:r>
        <w:t xml:space="preserve">Select records for ingestion into the WBG’s Digital Preservation System, based in Preservica. </w:t>
      </w:r>
    </w:p>
    <w:p w14:paraId="42E9E956" w14:textId="77777777" w:rsidR="00551B91" w:rsidRDefault="00551B91" w:rsidP="00B33303">
      <w:pPr>
        <w:autoSpaceDE w:val="0"/>
        <w:autoSpaceDN w:val="0"/>
        <w:adjustRightInd w:val="0"/>
        <w:spacing w:after="0" w:line="240" w:lineRule="auto"/>
        <w:jc w:val="both"/>
      </w:pPr>
    </w:p>
    <w:p w14:paraId="22A95D1A" w14:textId="77777777" w:rsidR="00551B91" w:rsidRPr="004F31B7" w:rsidRDefault="00551B91" w:rsidP="00B33303">
      <w:pPr>
        <w:pStyle w:val="ListParagraph"/>
        <w:autoSpaceDE w:val="0"/>
        <w:autoSpaceDN w:val="0"/>
        <w:adjustRightInd w:val="0"/>
        <w:spacing w:after="0" w:line="240" w:lineRule="auto"/>
        <w:ind w:left="0"/>
        <w:jc w:val="both"/>
        <w:rPr>
          <w:b/>
          <w:bCs/>
          <w:color w:val="4472C4" w:themeColor="accent1"/>
        </w:rPr>
      </w:pPr>
      <w:r w:rsidRPr="00CD77FB">
        <w:rPr>
          <w:b/>
          <w:bCs/>
          <w:color w:val="4472C4" w:themeColor="accent1"/>
        </w:rPr>
        <w:t xml:space="preserve">Governance of WBG Intranet sites and other M365 collaboration solutions </w:t>
      </w:r>
    </w:p>
    <w:p w14:paraId="566569F0" w14:textId="77777777" w:rsidR="00551B91" w:rsidRDefault="00551B91" w:rsidP="00B33303">
      <w:pPr>
        <w:pStyle w:val="ListParagraph"/>
        <w:numPr>
          <w:ilvl w:val="0"/>
          <w:numId w:val="6"/>
        </w:numPr>
        <w:autoSpaceDE w:val="0"/>
        <w:autoSpaceDN w:val="0"/>
        <w:adjustRightInd w:val="0"/>
        <w:spacing w:after="0" w:line="240" w:lineRule="auto"/>
        <w:jc w:val="both"/>
      </w:pPr>
      <w:r>
        <w:t xml:space="preserve">Support the IRC Governance Team in the </w:t>
      </w:r>
      <w:r w:rsidRPr="00513B1D">
        <w:t>governance of M365 applications</w:t>
      </w:r>
      <w:r>
        <w:t xml:space="preserve"> via the Intranet Resource Center.</w:t>
      </w:r>
    </w:p>
    <w:p w14:paraId="0B9DFE92" w14:textId="76B3160A" w:rsidR="00551B91" w:rsidRPr="00513B1D" w:rsidRDefault="00551B91" w:rsidP="00B33303">
      <w:pPr>
        <w:pStyle w:val="ListParagraph"/>
        <w:numPr>
          <w:ilvl w:val="0"/>
          <w:numId w:val="6"/>
        </w:numPr>
        <w:autoSpaceDE w:val="0"/>
        <w:autoSpaceDN w:val="0"/>
        <w:adjustRightInd w:val="0"/>
        <w:spacing w:after="0" w:line="240" w:lineRule="auto"/>
        <w:jc w:val="both"/>
      </w:pPr>
      <w:r>
        <w:t>Appraise the value of M365 applications at the beginning and end of their lifecycle and archive permanent applications in Preservica</w:t>
      </w:r>
      <w:r w:rsidR="7722C96D">
        <w:t>.</w:t>
      </w:r>
      <w:r>
        <w:t xml:space="preserve"> </w:t>
      </w:r>
    </w:p>
    <w:p w14:paraId="473BED79" w14:textId="77777777" w:rsidR="00551B91" w:rsidRDefault="00551B91" w:rsidP="00B33303">
      <w:pPr>
        <w:autoSpaceDE w:val="0"/>
        <w:autoSpaceDN w:val="0"/>
        <w:adjustRightInd w:val="0"/>
        <w:spacing w:after="0" w:line="240" w:lineRule="auto"/>
        <w:jc w:val="both"/>
        <w:rPr>
          <w:b/>
          <w:bCs/>
        </w:rPr>
      </w:pPr>
    </w:p>
    <w:p w14:paraId="5C4E4C68" w14:textId="77777777" w:rsidR="004B5B00" w:rsidRDefault="004B5B00" w:rsidP="00B33303">
      <w:pPr>
        <w:autoSpaceDE w:val="0"/>
        <w:autoSpaceDN w:val="0"/>
        <w:adjustRightInd w:val="0"/>
        <w:spacing w:after="0" w:line="240" w:lineRule="auto"/>
        <w:jc w:val="both"/>
        <w:rPr>
          <w:b/>
          <w:bCs/>
          <w:color w:val="4472C4" w:themeColor="accent1"/>
        </w:rPr>
      </w:pPr>
    </w:p>
    <w:p w14:paraId="2C6857D1" w14:textId="77777777" w:rsidR="004B5B00" w:rsidRDefault="004B5B00" w:rsidP="00B33303">
      <w:pPr>
        <w:autoSpaceDE w:val="0"/>
        <w:autoSpaceDN w:val="0"/>
        <w:adjustRightInd w:val="0"/>
        <w:spacing w:after="0" w:line="240" w:lineRule="auto"/>
        <w:jc w:val="both"/>
        <w:rPr>
          <w:b/>
          <w:bCs/>
          <w:color w:val="4472C4" w:themeColor="accent1"/>
        </w:rPr>
      </w:pPr>
    </w:p>
    <w:p w14:paraId="61120AE7" w14:textId="77777777" w:rsidR="00551B91" w:rsidRPr="004F31B7" w:rsidRDefault="00551B91" w:rsidP="00B33303">
      <w:pPr>
        <w:autoSpaceDE w:val="0"/>
        <w:autoSpaceDN w:val="0"/>
        <w:adjustRightInd w:val="0"/>
        <w:spacing w:after="0" w:line="240" w:lineRule="auto"/>
        <w:jc w:val="both"/>
        <w:rPr>
          <w:b/>
          <w:bCs/>
          <w:color w:val="4472C4" w:themeColor="accent1"/>
        </w:rPr>
      </w:pPr>
      <w:r w:rsidRPr="004F31B7">
        <w:rPr>
          <w:b/>
          <w:bCs/>
          <w:color w:val="4472C4" w:themeColor="accent1"/>
        </w:rPr>
        <w:t>Records Management Support and Outreach</w:t>
      </w:r>
    </w:p>
    <w:p w14:paraId="0C3938DB" w14:textId="77777777" w:rsidR="00551B91" w:rsidRDefault="00551B91" w:rsidP="00B33303">
      <w:pPr>
        <w:pStyle w:val="ListParagraph"/>
        <w:numPr>
          <w:ilvl w:val="0"/>
          <w:numId w:val="6"/>
        </w:numPr>
        <w:autoSpaceDE w:val="0"/>
        <w:autoSpaceDN w:val="0"/>
        <w:adjustRightInd w:val="0"/>
        <w:spacing w:after="0" w:line="240" w:lineRule="auto"/>
        <w:jc w:val="both"/>
      </w:pPr>
      <w:r>
        <w:lastRenderedPageBreak/>
        <w:t xml:space="preserve">Provide support, and direction on the management of records to WBG units, including, but not limited to, good records management practices, use of SharePoint Online capabilities, administration of folder structures in SharePoint and other M365 applications, transfer of analog records to the WBG Archives and destruction of expired records.  </w:t>
      </w:r>
    </w:p>
    <w:p w14:paraId="0A46E37B" w14:textId="77777777" w:rsidR="00551B91" w:rsidRDefault="00551B91" w:rsidP="00B33303">
      <w:pPr>
        <w:pStyle w:val="ListParagraph"/>
        <w:numPr>
          <w:ilvl w:val="0"/>
          <w:numId w:val="6"/>
        </w:numPr>
        <w:autoSpaceDE w:val="0"/>
        <w:autoSpaceDN w:val="0"/>
        <w:adjustRightInd w:val="0"/>
        <w:spacing w:after="0" w:line="240" w:lineRule="auto"/>
        <w:jc w:val="both"/>
      </w:pPr>
      <w:r w:rsidRPr="00513B1D">
        <w:t xml:space="preserve">Design, develop and deliver training on records management and </w:t>
      </w:r>
      <w:r>
        <w:t>records</w:t>
      </w:r>
      <w:r w:rsidRPr="00513B1D">
        <w:t xml:space="preserve"> management systems.</w:t>
      </w:r>
    </w:p>
    <w:p w14:paraId="5C91A8D1" w14:textId="77777777" w:rsidR="00551B91" w:rsidRPr="00513B1D" w:rsidRDefault="00551B91" w:rsidP="00B33303">
      <w:pPr>
        <w:pStyle w:val="ListParagraph"/>
        <w:numPr>
          <w:ilvl w:val="0"/>
          <w:numId w:val="6"/>
        </w:numPr>
        <w:autoSpaceDE w:val="0"/>
        <w:autoSpaceDN w:val="0"/>
        <w:adjustRightInd w:val="0"/>
        <w:spacing w:after="0" w:line="240" w:lineRule="auto"/>
        <w:jc w:val="both"/>
      </w:pPr>
      <w:r>
        <w:t>B</w:t>
      </w:r>
      <w:r w:rsidRPr="00513B1D">
        <w:t xml:space="preserve">e an active participant in </w:t>
      </w:r>
      <w:r>
        <w:t xml:space="preserve">the unit’s </w:t>
      </w:r>
      <w:r w:rsidRPr="00513B1D">
        <w:t>day to day projects</w:t>
      </w:r>
      <w:r>
        <w:t xml:space="preserve"> and </w:t>
      </w:r>
      <w:r w:rsidRPr="00513B1D">
        <w:t>responsibilities.</w:t>
      </w:r>
    </w:p>
    <w:p w14:paraId="5B065089" w14:textId="77777777" w:rsidR="00551B91" w:rsidRDefault="00551B91" w:rsidP="00B33303">
      <w:pPr>
        <w:spacing w:after="0"/>
        <w:jc w:val="both"/>
        <w:rPr>
          <w:rFonts w:eastAsiaTheme="minorEastAsia"/>
          <w:b/>
          <w:bCs/>
        </w:rPr>
      </w:pPr>
    </w:p>
    <w:p w14:paraId="1C4C8637" w14:textId="77777777" w:rsidR="00551B91" w:rsidRPr="001F6E62" w:rsidRDefault="00551B91" w:rsidP="00B33303">
      <w:pPr>
        <w:spacing w:after="0" w:line="240" w:lineRule="auto"/>
        <w:jc w:val="both"/>
        <w:outlineLvl w:val="1"/>
        <w:rPr>
          <w:rFonts w:eastAsia="Times New Roman" w:cstheme="minorHAnsi"/>
          <w:b/>
          <w:bCs/>
          <w:color w:val="000000"/>
          <w:sz w:val="24"/>
          <w:szCs w:val="24"/>
        </w:rPr>
      </w:pPr>
      <w:r w:rsidRPr="001F6E62">
        <w:rPr>
          <w:rFonts w:eastAsia="Times New Roman" w:cstheme="minorHAnsi"/>
          <w:b/>
          <w:bCs/>
          <w:color w:val="000000"/>
          <w:sz w:val="24"/>
          <w:szCs w:val="24"/>
        </w:rPr>
        <w:t>Required Skills</w:t>
      </w:r>
      <w:r>
        <w:rPr>
          <w:rFonts w:eastAsia="Times New Roman" w:cstheme="minorHAnsi"/>
          <w:b/>
          <w:bCs/>
          <w:color w:val="000000"/>
          <w:sz w:val="24"/>
          <w:szCs w:val="24"/>
        </w:rPr>
        <w:t xml:space="preserve"> and </w:t>
      </w:r>
      <w:r w:rsidRPr="001F6E62">
        <w:rPr>
          <w:rFonts w:eastAsia="Times New Roman" w:cstheme="minorHAnsi"/>
          <w:b/>
          <w:bCs/>
          <w:color w:val="000000"/>
          <w:sz w:val="24"/>
          <w:szCs w:val="24"/>
        </w:rPr>
        <w:t>Abilities</w:t>
      </w:r>
    </w:p>
    <w:p w14:paraId="3EC5BBC8" w14:textId="77777777" w:rsidR="00551B91" w:rsidRDefault="00551B91" w:rsidP="00B33303">
      <w:pPr>
        <w:numPr>
          <w:ilvl w:val="0"/>
          <w:numId w:val="6"/>
        </w:numPr>
        <w:spacing w:after="0" w:line="240" w:lineRule="auto"/>
        <w:jc w:val="both"/>
      </w:pPr>
      <w:bookmarkStart w:id="0" w:name="_Hlk92110742"/>
      <w:r w:rsidRPr="00513B1D">
        <w:t>MA/MS in Archives,</w:t>
      </w:r>
      <w:r>
        <w:t xml:space="preserve"> Records Management,</w:t>
      </w:r>
      <w:r w:rsidRPr="00513B1D">
        <w:t xml:space="preserve"> Information Science</w:t>
      </w:r>
      <w:r>
        <w:t>,</w:t>
      </w:r>
      <w:r w:rsidRPr="00513B1D">
        <w:t xml:space="preserve"> or related field</w:t>
      </w:r>
      <w:r>
        <w:t>.</w:t>
      </w:r>
    </w:p>
    <w:p w14:paraId="42C1AC4A" w14:textId="77777777" w:rsidR="00551B91" w:rsidRPr="00513B1D" w:rsidRDefault="00551B91" w:rsidP="00B33303">
      <w:pPr>
        <w:numPr>
          <w:ilvl w:val="0"/>
          <w:numId w:val="6"/>
        </w:numPr>
        <w:spacing w:after="0" w:line="240" w:lineRule="auto"/>
        <w:jc w:val="both"/>
      </w:pPr>
      <w:r>
        <w:t>A</w:t>
      </w:r>
      <w:r w:rsidRPr="00513B1D">
        <w:t xml:space="preserve"> minimum </w:t>
      </w:r>
      <w:r>
        <w:t xml:space="preserve">of </w:t>
      </w:r>
      <w:r w:rsidRPr="00513B1D">
        <w:t>2 years of relevant experience.</w:t>
      </w:r>
    </w:p>
    <w:bookmarkEnd w:id="0"/>
    <w:p w14:paraId="1AFB7B69" w14:textId="77777777" w:rsidR="00551B91" w:rsidRDefault="00551B91" w:rsidP="00B33303">
      <w:pPr>
        <w:numPr>
          <w:ilvl w:val="0"/>
          <w:numId w:val="6"/>
        </w:numPr>
        <w:spacing w:after="0" w:line="240" w:lineRule="auto"/>
        <w:jc w:val="both"/>
      </w:pPr>
      <w:r w:rsidRPr="00513B1D">
        <w:rPr>
          <w:rFonts w:eastAsia="Times New Roman" w:cstheme="minorHAnsi"/>
          <w:color w:val="000000"/>
        </w:rPr>
        <w:t xml:space="preserve">In-depth understanding and practical </w:t>
      </w:r>
      <w:r>
        <w:rPr>
          <w:rFonts w:eastAsia="Times New Roman" w:cstheme="minorHAnsi"/>
          <w:color w:val="000000"/>
        </w:rPr>
        <w:t>experience</w:t>
      </w:r>
      <w:r w:rsidRPr="00513B1D">
        <w:rPr>
          <w:rFonts w:eastAsia="Times New Roman" w:cstheme="minorHAnsi"/>
          <w:color w:val="000000"/>
        </w:rPr>
        <w:t xml:space="preserve"> with</w:t>
      </w:r>
      <w:r w:rsidRPr="00513B1D">
        <w:t xml:space="preserve"> standards and </w:t>
      </w:r>
      <w:r>
        <w:t>good</w:t>
      </w:r>
      <w:r w:rsidRPr="00513B1D">
        <w:t xml:space="preserve"> practices for records management, records appraisal, and </w:t>
      </w:r>
      <w:r>
        <w:t xml:space="preserve">records </w:t>
      </w:r>
      <w:r w:rsidRPr="00513B1D">
        <w:t xml:space="preserve">disposition. </w:t>
      </w:r>
    </w:p>
    <w:p w14:paraId="3CBA2D88" w14:textId="77777777" w:rsidR="00551B91" w:rsidRDefault="00551B91" w:rsidP="006A04B6">
      <w:pPr>
        <w:numPr>
          <w:ilvl w:val="0"/>
          <w:numId w:val="6"/>
        </w:numPr>
        <w:spacing w:after="0" w:line="240" w:lineRule="auto"/>
        <w:jc w:val="both"/>
      </w:pPr>
      <w:r w:rsidRPr="00513B1D">
        <w:t>Ability to conduct independent research and functional analysis and to make judgments on the archival value of the variety of business records</w:t>
      </w:r>
      <w:r>
        <w:t>.</w:t>
      </w:r>
    </w:p>
    <w:p w14:paraId="4D7191B2" w14:textId="77777777" w:rsidR="00551B91" w:rsidRDefault="00551B91" w:rsidP="00160030">
      <w:pPr>
        <w:numPr>
          <w:ilvl w:val="0"/>
          <w:numId w:val="6"/>
        </w:numPr>
        <w:spacing w:after="0" w:line="240" w:lineRule="auto"/>
        <w:jc w:val="both"/>
      </w:pPr>
      <w:r>
        <w:t xml:space="preserve">Experience with the records management solution for the Microsoft 365 platform and/or with using other electronic records management systems. </w:t>
      </w:r>
    </w:p>
    <w:p w14:paraId="18EF4AF5" w14:textId="77777777" w:rsidR="00551B91" w:rsidRPr="00412442" w:rsidRDefault="00551B91" w:rsidP="00160030">
      <w:pPr>
        <w:numPr>
          <w:ilvl w:val="0"/>
          <w:numId w:val="6"/>
        </w:numPr>
        <w:spacing w:after="0" w:line="240" w:lineRule="auto"/>
        <w:jc w:val="both"/>
      </w:pPr>
      <w:r w:rsidRPr="00160030">
        <w:rPr>
          <w:rFonts w:eastAsia="Times New Roman" w:cstheme="minorHAnsi"/>
          <w:color w:val="000000"/>
        </w:rPr>
        <w:t xml:space="preserve">Ability to develop out-of-box solutions and customizations on Microsoft Office 365 platform and </w:t>
      </w:r>
      <w:r>
        <w:rPr>
          <w:rFonts w:eastAsia="Times New Roman" w:cstheme="minorHAnsi"/>
          <w:color w:val="000000"/>
        </w:rPr>
        <w:t xml:space="preserve">experience with </w:t>
      </w:r>
      <w:r w:rsidRPr="00160030">
        <w:rPr>
          <w:rFonts w:eastAsia="Times New Roman" w:cstheme="minorHAnsi"/>
          <w:color w:val="000000"/>
        </w:rPr>
        <w:t>Microsoft Power Automat</w:t>
      </w:r>
      <w:r>
        <w:rPr>
          <w:rFonts w:eastAsia="Times New Roman" w:cstheme="minorHAnsi"/>
          <w:color w:val="000000"/>
        </w:rPr>
        <w:t>e</w:t>
      </w:r>
      <w:r w:rsidRPr="00160030">
        <w:rPr>
          <w:rFonts w:eastAsia="Times New Roman" w:cstheme="minorHAnsi"/>
          <w:color w:val="000000"/>
        </w:rPr>
        <w:t xml:space="preserve"> would be </w:t>
      </w:r>
      <w:r>
        <w:rPr>
          <w:rFonts w:eastAsia="Times New Roman" w:cstheme="minorHAnsi"/>
          <w:color w:val="000000"/>
        </w:rPr>
        <w:t>an asset</w:t>
      </w:r>
      <w:r w:rsidRPr="00160030">
        <w:rPr>
          <w:rFonts w:eastAsia="Times New Roman" w:cstheme="minorHAnsi"/>
          <w:color w:val="000000"/>
        </w:rPr>
        <w:t xml:space="preserve">. </w:t>
      </w:r>
    </w:p>
    <w:p w14:paraId="2F1B650F" w14:textId="77777777" w:rsidR="00551B91" w:rsidRDefault="00551B91" w:rsidP="00160030">
      <w:pPr>
        <w:numPr>
          <w:ilvl w:val="0"/>
          <w:numId w:val="6"/>
        </w:numPr>
        <w:spacing w:after="0" w:line="240" w:lineRule="auto"/>
        <w:jc w:val="both"/>
      </w:pPr>
      <w:r w:rsidRPr="00513B1D">
        <w:t xml:space="preserve">Knowledge </w:t>
      </w:r>
      <w:r>
        <w:t>of</w:t>
      </w:r>
      <w:r w:rsidRPr="00513B1D">
        <w:t xml:space="preserve"> Preservica </w:t>
      </w:r>
      <w:r>
        <w:t>would be desirable</w:t>
      </w:r>
      <w:r w:rsidRPr="00513B1D">
        <w:t>.</w:t>
      </w:r>
    </w:p>
    <w:p w14:paraId="4900B1F0" w14:textId="77777777" w:rsidR="00551B91" w:rsidRPr="005B77F5" w:rsidRDefault="00551B91" w:rsidP="003E6F71">
      <w:pPr>
        <w:numPr>
          <w:ilvl w:val="0"/>
          <w:numId w:val="6"/>
        </w:numPr>
        <w:spacing w:after="0" w:line="240" w:lineRule="auto"/>
        <w:jc w:val="both"/>
      </w:pPr>
      <w:r>
        <w:t>Ability to communicate information graphically in an appealing way for reporting and other communication needs.</w:t>
      </w:r>
    </w:p>
    <w:p w14:paraId="3AB71496" w14:textId="77777777" w:rsidR="00551B91" w:rsidRDefault="00551B91" w:rsidP="00B33303">
      <w:pPr>
        <w:numPr>
          <w:ilvl w:val="0"/>
          <w:numId w:val="6"/>
        </w:numPr>
        <w:spacing w:after="0" w:line="240" w:lineRule="auto"/>
        <w:jc w:val="both"/>
      </w:pPr>
      <w:r w:rsidRPr="00513B1D">
        <w:t>Conceptual, analytic, and innovative problem-solving ability.</w:t>
      </w:r>
    </w:p>
    <w:p w14:paraId="1C9D9483" w14:textId="77777777" w:rsidR="00551B91" w:rsidRPr="00513B1D" w:rsidRDefault="00551B91" w:rsidP="00B33303">
      <w:pPr>
        <w:numPr>
          <w:ilvl w:val="0"/>
          <w:numId w:val="6"/>
        </w:numPr>
        <w:spacing w:after="0" w:line="240" w:lineRule="auto"/>
        <w:jc w:val="both"/>
      </w:pPr>
      <w:r>
        <w:t>Hands-on and results-oriented approach.</w:t>
      </w:r>
    </w:p>
    <w:p w14:paraId="64572D25" w14:textId="77777777" w:rsidR="00551B91" w:rsidRDefault="00551B91" w:rsidP="00B33303">
      <w:pPr>
        <w:numPr>
          <w:ilvl w:val="0"/>
          <w:numId w:val="6"/>
        </w:numPr>
        <w:spacing w:after="0" w:line="240" w:lineRule="auto"/>
        <w:jc w:val="both"/>
      </w:pPr>
      <w:r w:rsidRPr="00513B1D">
        <w:t>Excellent oral and written communication skills in English; ability to write concise and accurate reports, and good public outreach skills.</w:t>
      </w:r>
    </w:p>
    <w:p w14:paraId="7F6BD02F" w14:textId="77777777" w:rsidR="00551B91" w:rsidRPr="00513B1D" w:rsidRDefault="00551B91" w:rsidP="00DF386A">
      <w:pPr>
        <w:numPr>
          <w:ilvl w:val="0"/>
          <w:numId w:val="6"/>
        </w:numPr>
        <w:spacing w:after="0" w:line="240" w:lineRule="auto"/>
        <w:jc w:val="both"/>
      </w:pPr>
      <w:r w:rsidRPr="00513B1D">
        <w:t>Ability to contribute to projects with minimum guidance; capacity to work both independently and in a team; willingness to seek advice and assistance.</w:t>
      </w:r>
    </w:p>
    <w:p w14:paraId="661EA2EB" w14:textId="77777777" w:rsidR="00551B91" w:rsidRPr="00513B1D" w:rsidRDefault="00551B91" w:rsidP="00DF386A">
      <w:pPr>
        <w:numPr>
          <w:ilvl w:val="0"/>
          <w:numId w:val="6"/>
        </w:numPr>
        <w:spacing w:after="0" w:line="240" w:lineRule="auto"/>
        <w:jc w:val="both"/>
      </w:pPr>
      <w:r w:rsidRPr="00513B1D">
        <w:t xml:space="preserve">Ability to develop and maintain good working relationships with staff at </w:t>
      </w:r>
      <w:r>
        <w:t>various</w:t>
      </w:r>
      <w:r w:rsidRPr="00513B1D">
        <w:t xml:space="preserve"> levels across the organization.</w:t>
      </w:r>
    </w:p>
    <w:p w14:paraId="405CF759" w14:textId="3A132FAE" w:rsidR="00551B91" w:rsidRPr="00513B1D" w:rsidRDefault="00551B91" w:rsidP="00B33303">
      <w:pPr>
        <w:numPr>
          <w:ilvl w:val="0"/>
          <w:numId w:val="6"/>
        </w:numPr>
        <w:spacing w:after="0" w:line="240" w:lineRule="auto"/>
        <w:jc w:val="both"/>
      </w:pPr>
      <w:r>
        <w:t xml:space="preserve">Curiosity in </w:t>
      </w:r>
      <w:r w:rsidRPr="00513B1D">
        <w:t xml:space="preserve">the </w:t>
      </w:r>
      <w:r w:rsidR="00A75A4F">
        <w:t>WBG’s</w:t>
      </w:r>
      <w:r w:rsidRPr="00513B1D">
        <w:t xml:space="preserve"> work and familiarity with </w:t>
      </w:r>
      <w:r w:rsidR="008E1DD7">
        <w:t>its</w:t>
      </w:r>
      <w:r w:rsidRPr="00513B1D">
        <w:t xml:space="preserve"> mission and objectives.</w:t>
      </w:r>
    </w:p>
    <w:p w14:paraId="4989F357" w14:textId="77777777" w:rsidR="00551B91" w:rsidRPr="007031A9" w:rsidRDefault="00551B91" w:rsidP="1B8DDB07">
      <w:pPr>
        <w:numPr>
          <w:ilvl w:val="0"/>
          <w:numId w:val="6"/>
        </w:numPr>
        <w:spacing w:after="0" w:line="240" w:lineRule="auto"/>
        <w:jc w:val="both"/>
        <w:rPr>
          <w:rFonts w:eastAsia="Times New Roman"/>
          <w:color w:val="000000"/>
        </w:rPr>
      </w:pPr>
      <w:r w:rsidRPr="1B8DDB07">
        <w:rPr>
          <w:rFonts w:eastAsia="Times New Roman"/>
          <w:color w:val="000000" w:themeColor="text1"/>
        </w:rPr>
        <w:t>Flexibility towards work environment changes and emerging opportunities.</w:t>
      </w:r>
    </w:p>
    <w:p w14:paraId="62CA4E6F" w14:textId="77777777" w:rsidR="007031A9" w:rsidRPr="007031A9" w:rsidRDefault="00CD30BC" w:rsidP="00260D5D">
      <w:pPr>
        <w:pStyle w:val="NormalWeb"/>
        <w:shd w:val="clear" w:color="auto" w:fill="FFFFFF"/>
        <w:jc w:val="both"/>
        <w:rPr>
          <w:rFonts w:asciiTheme="minorHAnsi" w:hAnsiTheme="minorHAnsi" w:cstheme="minorHAnsi"/>
          <w:color w:val="000000"/>
          <w:sz w:val="22"/>
          <w:szCs w:val="22"/>
        </w:rPr>
      </w:pPr>
      <w:hyperlink r:id="rId8" w:history="1">
        <w:r w:rsidR="007031A9" w:rsidRPr="007031A9">
          <w:rPr>
            <w:rStyle w:val="Hyperlink"/>
            <w:rFonts w:asciiTheme="minorHAnsi" w:hAnsiTheme="minorHAnsi" w:cstheme="minorHAnsi"/>
            <w:b/>
            <w:bCs/>
            <w:color w:val="337AB7"/>
            <w:sz w:val="22"/>
            <w:szCs w:val="22"/>
          </w:rPr>
          <w:t>World Bank Group Core Competencies</w:t>
        </w:r>
      </w:hyperlink>
    </w:p>
    <w:p w14:paraId="062FF336" w14:textId="44AF889A" w:rsidR="007031A9" w:rsidRPr="007031A9" w:rsidRDefault="007031A9" w:rsidP="00B33303">
      <w:pPr>
        <w:pStyle w:val="NormalWeb"/>
        <w:shd w:val="clear" w:color="auto" w:fill="FFFFFF"/>
        <w:jc w:val="both"/>
        <w:rPr>
          <w:rFonts w:asciiTheme="minorHAnsi" w:hAnsiTheme="minorHAnsi" w:cstheme="minorHAnsi"/>
          <w:color w:val="000000"/>
          <w:sz w:val="22"/>
          <w:szCs w:val="22"/>
        </w:rPr>
      </w:pPr>
      <w:r w:rsidRPr="007031A9">
        <w:rPr>
          <w:rStyle w:val="Emphasis"/>
          <w:rFonts w:asciiTheme="minorHAnsi" w:hAnsiTheme="minorHAnsi" w:cstheme="minorHAnsi"/>
          <w:color w:val="000000"/>
          <w:sz w:val="22"/>
          <w:szCs w:val="22"/>
        </w:rPr>
        <w:t xml:space="preserve">The </w:t>
      </w:r>
      <w:r w:rsidR="00A75A4F">
        <w:rPr>
          <w:rStyle w:val="Emphasis"/>
          <w:rFonts w:asciiTheme="minorHAnsi" w:hAnsiTheme="minorHAnsi" w:cstheme="minorHAnsi"/>
          <w:color w:val="000000"/>
          <w:sz w:val="22"/>
          <w:szCs w:val="22"/>
        </w:rPr>
        <w:t>WBG</w:t>
      </w:r>
      <w:r w:rsidRPr="007031A9">
        <w:rPr>
          <w:rStyle w:val="Emphasis"/>
          <w:rFonts w:asciiTheme="minorHAnsi" w:hAnsiTheme="minorHAnsi" w:cstheme="minorHAnsi"/>
          <w:color w:val="000000"/>
          <w:sz w:val="22"/>
          <w:szCs w:val="22"/>
        </w:rPr>
        <w:t xml:space="preserve"> offers comprehensive benefits, including a retirement plan; medical, life and disability insurance; and paid leave, including parental leave, as well as reasonable accommodations for individuals with disabilities.</w:t>
      </w:r>
    </w:p>
    <w:p w14:paraId="78920DE5" w14:textId="77777777" w:rsidR="007031A9" w:rsidRPr="007031A9" w:rsidRDefault="007031A9" w:rsidP="00B33303">
      <w:pPr>
        <w:pStyle w:val="NormalWeb"/>
        <w:shd w:val="clear" w:color="auto" w:fill="FFFFFF"/>
        <w:jc w:val="both"/>
        <w:rPr>
          <w:rFonts w:asciiTheme="minorHAnsi" w:hAnsiTheme="minorHAnsi" w:cstheme="minorHAnsi"/>
          <w:color w:val="000000"/>
          <w:sz w:val="22"/>
          <w:szCs w:val="22"/>
        </w:rPr>
      </w:pPr>
      <w:r w:rsidRPr="007031A9">
        <w:rPr>
          <w:rStyle w:val="Emphasis"/>
          <w:rFonts w:asciiTheme="minorHAnsi" w:hAnsiTheme="minorHAnsi" w:cstheme="minorHAnsi"/>
          <w:color w:val="000000"/>
          <w:sz w:val="22"/>
          <w:szCs w:val="22"/>
        </w:rPr>
        <w:t>We are proud to be an equal opportunity and inclusive employer with a dedicated and committed workforce, and do not discriminate based on gender, gender identity, religion, race, ethnicity, sexual orientation, or disability.</w:t>
      </w:r>
    </w:p>
    <w:p w14:paraId="4127486D" w14:textId="785AEFA9" w:rsidR="00782EAB" w:rsidRPr="00260D5D" w:rsidRDefault="007031A9" w:rsidP="00260D5D">
      <w:pPr>
        <w:pStyle w:val="NormalWeb"/>
        <w:shd w:val="clear" w:color="auto" w:fill="FFFFFF"/>
        <w:jc w:val="both"/>
        <w:rPr>
          <w:rFonts w:asciiTheme="minorHAnsi" w:hAnsiTheme="minorHAnsi" w:cstheme="minorHAnsi"/>
          <w:color w:val="000000"/>
          <w:sz w:val="22"/>
          <w:szCs w:val="22"/>
        </w:rPr>
      </w:pPr>
      <w:r w:rsidRPr="007031A9">
        <w:rPr>
          <w:rStyle w:val="Emphasis"/>
          <w:rFonts w:asciiTheme="minorHAnsi" w:hAnsiTheme="minorHAnsi" w:cstheme="minorHAnsi"/>
          <w:color w:val="000000"/>
          <w:sz w:val="22"/>
          <w:szCs w:val="22"/>
        </w:rPr>
        <w:t>Learn more about working at the </w:t>
      </w:r>
      <w:hyperlink r:id="rId9" w:history="1">
        <w:r w:rsidRPr="007031A9">
          <w:rPr>
            <w:rStyle w:val="Hyperlink"/>
            <w:rFonts w:asciiTheme="minorHAnsi" w:hAnsiTheme="minorHAnsi" w:cstheme="minorHAnsi"/>
            <w:b/>
            <w:bCs/>
            <w:i/>
            <w:iCs/>
            <w:color w:val="337AB7"/>
            <w:sz w:val="22"/>
            <w:szCs w:val="22"/>
          </w:rPr>
          <w:t>World Bank</w:t>
        </w:r>
      </w:hyperlink>
      <w:r w:rsidRPr="007031A9">
        <w:rPr>
          <w:rStyle w:val="Emphasis"/>
          <w:rFonts w:asciiTheme="minorHAnsi" w:hAnsiTheme="minorHAnsi" w:cstheme="minorHAnsi"/>
          <w:color w:val="000000"/>
          <w:sz w:val="22"/>
          <w:szCs w:val="22"/>
        </w:rPr>
        <w:t> and </w:t>
      </w:r>
      <w:hyperlink r:id="rId10" w:history="1">
        <w:r w:rsidRPr="007031A9">
          <w:rPr>
            <w:rStyle w:val="Hyperlink"/>
            <w:rFonts w:asciiTheme="minorHAnsi" w:hAnsiTheme="minorHAnsi" w:cstheme="minorHAnsi"/>
            <w:b/>
            <w:bCs/>
            <w:i/>
            <w:iCs/>
            <w:color w:val="337AB7"/>
            <w:sz w:val="22"/>
            <w:szCs w:val="22"/>
          </w:rPr>
          <w:t>IFC</w:t>
        </w:r>
      </w:hyperlink>
      <w:r w:rsidRPr="007031A9">
        <w:rPr>
          <w:rStyle w:val="Emphasis"/>
          <w:rFonts w:asciiTheme="minorHAnsi" w:hAnsiTheme="minorHAnsi" w:cstheme="minorHAnsi"/>
          <w:color w:val="000000"/>
          <w:sz w:val="22"/>
          <w:szCs w:val="22"/>
        </w:rPr>
        <w:t>, including our values and inspiring stories. </w:t>
      </w:r>
    </w:p>
    <w:sectPr w:rsidR="00782EAB" w:rsidRPr="00260D5D" w:rsidSect="005338B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6148" w14:textId="77777777" w:rsidR="007D58F5" w:rsidRDefault="007D58F5" w:rsidP="006E5669">
      <w:pPr>
        <w:spacing w:after="0" w:line="240" w:lineRule="auto"/>
      </w:pPr>
      <w:r>
        <w:separator/>
      </w:r>
    </w:p>
  </w:endnote>
  <w:endnote w:type="continuationSeparator" w:id="0">
    <w:p w14:paraId="727D9D3E" w14:textId="77777777" w:rsidR="007D58F5" w:rsidRDefault="007D58F5" w:rsidP="006E5669">
      <w:pPr>
        <w:spacing w:after="0" w:line="240" w:lineRule="auto"/>
      </w:pPr>
      <w:r>
        <w:continuationSeparator/>
      </w:r>
    </w:p>
  </w:endnote>
  <w:endnote w:type="continuationNotice" w:id="1">
    <w:p w14:paraId="01462C41" w14:textId="77777777" w:rsidR="007D58F5" w:rsidRDefault="007D5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941A" w14:textId="77777777" w:rsidR="007D58F5" w:rsidRDefault="007D58F5" w:rsidP="006E5669">
      <w:pPr>
        <w:spacing w:after="0" w:line="240" w:lineRule="auto"/>
      </w:pPr>
      <w:r>
        <w:separator/>
      </w:r>
    </w:p>
  </w:footnote>
  <w:footnote w:type="continuationSeparator" w:id="0">
    <w:p w14:paraId="2FD20EAA" w14:textId="77777777" w:rsidR="007D58F5" w:rsidRDefault="007D58F5" w:rsidP="006E5669">
      <w:pPr>
        <w:spacing w:after="0" w:line="240" w:lineRule="auto"/>
      </w:pPr>
      <w:r>
        <w:continuationSeparator/>
      </w:r>
    </w:p>
  </w:footnote>
  <w:footnote w:type="continuationNotice" w:id="1">
    <w:p w14:paraId="36F8EE8B" w14:textId="77777777" w:rsidR="007D58F5" w:rsidRDefault="007D58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885"/>
    <w:multiLevelType w:val="hybridMultilevel"/>
    <w:tmpl w:val="5470C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EA646C1"/>
    <w:multiLevelType w:val="hybridMultilevel"/>
    <w:tmpl w:val="FE6AEBE8"/>
    <w:lvl w:ilvl="0" w:tplc="40E856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57986"/>
    <w:multiLevelType w:val="hybridMultilevel"/>
    <w:tmpl w:val="A66CF3D2"/>
    <w:lvl w:ilvl="0" w:tplc="40E8565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2E3BE3"/>
    <w:multiLevelType w:val="multilevel"/>
    <w:tmpl w:val="8A06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2574A9"/>
    <w:multiLevelType w:val="multilevel"/>
    <w:tmpl w:val="847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E852A9"/>
    <w:multiLevelType w:val="hybridMultilevel"/>
    <w:tmpl w:val="662AD220"/>
    <w:lvl w:ilvl="0" w:tplc="04090001">
      <w:start w:val="1"/>
      <w:numFmt w:val="bullet"/>
      <w:lvlText w:val=""/>
      <w:lvlJc w:val="left"/>
      <w:pPr>
        <w:ind w:left="360" w:hanging="360"/>
      </w:pPr>
      <w:rPr>
        <w:rFonts w:ascii="Symbol" w:hAnsi="Symbol" w:hint="default"/>
      </w:rPr>
    </w:lvl>
    <w:lvl w:ilvl="1" w:tplc="3710A7D0">
      <w:numFmt w:val="bullet"/>
      <w:lvlText w:val=""/>
      <w:lvlJc w:val="left"/>
      <w:pPr>
        <w:ind w:left="1080" w:hanging="360"/>
      </w:pPr>
      <w:rPr>
        <w:rFonts w:ascii="Wingdings" w:eastAsiaTheme="minorHAnsi" w:hAnsi="Wingdings" w:cs="Segoe U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EE8224B"/>
    <w:multiLevelType w:val="multilevel"/>
    <w:tmpl w:val="B464E6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C7E7920"/>
    <w:multiLevelType w:val="multilevel"/>
    <w:tmpl w:val="0C0A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6"/>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AB"/>
    <w:rsid w:val="0001360A"/>
    <w:rsid w:val="00021136"/>
    <w:rsid w:val="000464CF"/>
    <w:rsid w:val="00050AC0"/>
    <w:rsid w:val="00051F47"/>
    <w:rsid w:val="00057BAD"/>
    <w:rsid w:val="00064F05"/>
    <w:rsid w:val="00065197"/>
    <w:rsid w:val="00066F05"/>
    <w:rsid w:val="000747A4"/>
    <w:rsid w:val="00083C04"/>
    <w:rsid w:val="000917BA"/>
    <w:rsid w:val="000A220E"/>
    <w:rsid w:val="000A6A5A"/>
    <w:rsid w:val="000A7B0A"/>
    <w:rsid w:val="000B28A0"/>
    <w:rsid w:val="000C3225"/>
    <w:rsid w:val="000D39ED"/>
    <w:rsid w:val="000F5A40"/>
    <w:rsid w:val="0011401F"/>
    <w:rsid w:val="001228E1"/>
    <w:rsid w:val="00130623"/>
    <w:rsid w:val="00135B82"/>
    <w:rsid w:val="0014015C"/>
    <w:rsid w:val="00153233"/>
    <w:rsid w:val="00160030"/>
    <w:rsid w:val="0016042A"/>
    <w:rsid w:val="00161A66"/>
    <w:rsid w:val="0017EA68"/>
    <w:rsid w:val="001825D8"/>
    <w:rsid w:val="00184CC7"/>
    <w:rsid w:val="001938C9"/>
    <w:rsid w:val="00196726"/>
    <w:rsid w:val="00196D63"/>
    <w:rsid w:val="001A1B99"/>
    <w:rsid w:val="001A3A7B"/>
    <w:rsid w:val="001A5B5E"/>
    <w:rsid w:val="001B23EB"/>
    <w:rsid w:val="001E5FE4"/>
    <w:rsid w:val="001F6E62"/>
    <w:rsid w:val="00222A9D"/>
    <w:rsid w:val="00226F25"/>
    <w:rsid w:val="002359B4"/>
    <w:rsid w:val="002414D5"/>
    <w:rsid w:val="00255D01"/>
    <w:rsid w:val="00260D5D"/>
    <w:rsid w:val="00266971"/>
    <w:rsid w:val="0026698B"/>
    <w:rsid w:val="00272EA9"/>
    <w:rsid w:val="00273930"/>
    <w:rsid w:val="0028218C"/>
    <w:rsid w:val="00295A89"/>
    <w:rsid w:val="002A20A4"/>
    <w:rsid w:val="002B2DAD"/>
    <w:rsid w:val="002E1D54"/>
    <w:rsid w:val="0030218D"/>
    <w:rsid w:val="00311236"/>
    <w:rsid w:val="00327F88"/>
    <w:rsid w:val="00331B55"/>
    <w:rsid w:val="00336D43"/>
    <w:rsid w:val="003465C0"/>
    <w:rsid w:val="00375A07"/>
    <w:rsid w:val="00382648"/>
    <w:rsid w:val="00392149"/>
    <w:rsid w:val="003959A2"/>
    <w:rsid w:val="00396518"/>
    <w:rsid w:val="003A716E"/>
    <w:rsid w:val="003C111A"/>
    <w:rsid w:val="003D2F41"/>
    <w:rsid w:val="003E6F71"/>
    <w:rsid w:val="00412442"/>
    <w:rsid w:val="00412896"/>
    <w:rsid w:val="004227EA"/>
    <w:rsid w:val="00435240"/>
    <w:rsid w:val="00451021"/>
    <w:rsid w:val="00460D28"/>
    <w:rsid w:val="0046760E"/>
    <w:rsid w:val="004B1735"/>
    <w:rsid w:val="004B4086"/>
    <w:rsid w:val="004B5B00"/>
    <w:rsid w:val="004C2D3E"/>
    <w:rsid w:val="004D2B63"/>
    <w:rsid w:val="004D30AE"/>
    <w:rsid w:val="004F31B7"/>
    <w:rsid w:val="004F4162"/>
    <w:rsid w:val="005016D8"/>
    <w:rsid w:val="00512731"/>
    <w:rsid w:val="00513B1D"/>
    <w:rsid w:val="00526C48"/>
    <w:rsid w:val="005334AB"/>
    <w:rsid w:val="005338B2"/>
    <w:rsid w:val="00536CC2"/>
    <w:rsid w:val="00540991"/>
    <w:rsid w:val="00551B91"/>
    <w:rsid w:val="00556790"/>
    <w:rsid w:val="00563DE0"/>
    <w:rsid w:val="00564CFE"/>
    <w:rsid w:val="00571080"/>
    <w:rsid w:val="00571842"/>
    <w:rsid w:val="005726F7"/>
    <w:rsid w:val="00586C85"/>
    <w:rsid w:val="005B77F5"/>
    <w:rsid w:val="005C1943"/>
    <w:rsid w:val="005C2364"/>
    <w:rsid w:val="005E4E00"/>
    <w:rsid w:val="00615861"/>
    <w:rsid w:val="00621007"/>
    <w:rsid w:val="00621276"/>
    <w:rsid w:val="00626D55"/>
    <w:rsid w:val="00627788"/>
    <w:rsid w:val="00633D64"/>
    <w:rsid w:val="00634CE6"/>
    <w:rsid w:val="00637898"/>
    <w:rsid w:val="00642C87"/>
    <w:rsid w:val="00643493"/>
    <w:rsid w:val="00646884"/>
    <w:rsid w:val="00646DA1"/>
    <w:rsid w:val="00646F5C"/>
    <w:rsid w:val="006500F3"/>
    <w:rsid w:val="00650E53"/>
    <w:rsid w:val="00654E0A"/>
    <w:rsid w:val="0065576A"/>
    <w:rsid w:val="00662FE4"/>
    <w:rsid w:val="006659D8"/>
    <w:rsid w:val="00666DE3"/>
    <w:rsid w:val="006713BF"/>
    <w:rsid w:val="0068588B"/>
    <w:rsid w:val="00686270"/>
    <w:rsid w:val="006862B4"/>
    <w:rsid w:val="00687AAF"/>
    <w:rsid w:val="00692455"/>
    <w:rsid w:val="00692866"/>
    <w:rsid w:val="00695C31"/>
    <w:rsid w:val="006A04B6"/>
    <w:rsid w:val="006B2894"/>
    <w:rsid w:val="006C7D76"/>
    <w:rsid w:val="006E5669"/>
    <w:rsid w:val="006E5A6B"/>
    <w:rsid w:val="006F0456"/>
    <w:rsid w:val="006F6D4D"/>
    <w:rsid w:val="00700C27"/>
    <w:rsid w:val="007027EA"/>
    <w:rsid w:val="007031A9"/>
    <w:rsid w:val="0070328C"/>
    <w:rsid w:val="0072247F"/>
    <w:rsid w:val="00722B32"/>
    <w:rsid w:val="00741236"/>
    <w:rsid w:val="00764044"/>
    <w:rsid w:val="007644DA"/>
    <w:rsid w:val="007705EC"/>
    <w:rsid w:val="007709FB"/>
    <w:rsid w:val="00772740"/>
    <w:rsid w:val="00776967"/>
    <w:rsid w:val="00781E24"/>
    <w:rsid w:val="00782EAB"/>
    <w:rsid w:val="00784E74"/>
    <w:rsid w:val="0079011B"/>
    <w:rsid w:val="0079157B"/>
    <w:rsid w:val="007932AB"/>
    <w:rsid w:val="0079481D"/>
    <w:rsid w:val="00796EBB"/>
    <w:rsid w:val="007A1030"/>
    <w:rsid w:val="007A1E55"/>
    <w:rsid w:val="007B7440"/>
    <w:rsid w:val="007C1857"/>
    <w:rsid w:val="007D58F5"/>
    <w:rsid w:val="007D733A"/>
    <w:rsid w:val="007F59B9"/>
    <w:rsid w:val="00811D53"/>
    <w:rsid w:val="00817DEF"/>
    <w:rsid w:val="00824E4A"/>
    <w:rsid w:val="008272FD"/>
    <w:rsid w:val="0083071F"/>
    <w:rsid w:val="0083178F"/>
    <w:rsid w:val="00844018"/>
    <w:rsid w:val="00850FE1"/>
    <w:rsid w:val="00855B4B"/>
    <w:rsid w:val="00886AE2"/>
    <w:rsid w:val="008A173B"/>
    <w:rsid w:val="008A27E1"/>
    <w:rsid w:val="008C3645"/>
    <w:rsid w:val="008C4C04"/>
    <w:rsid w:val="008C543E"/>
    <w:rsid w:val="008E1DD7"/>
    <w:rsid w:val="008E558C"/>
    <w:rsid w:val="00907BE3"/>
    <w:rsid w:val="009243B4"/>
    <w:rsid w:val="00927591"/>
    <w:rsid w:val="00932400"/>
    <w:rsid w:val="0094244F"/>
    <w:rsid w:val="00964A07"/>
    <w:rsid w:val="009767F7"/>
    <w:rsid w:val="0098224C"/>
    <w:rsid w:val="00984201"/>
    <w:rsid w:val="00996301"/>
    <w:rsid w:val="009A784D"/>
    <w:rsid w:val="009B76F4"/>
    <w:rsid w:val="009C71F6"/>
    <w:rsid w:val="009D79E0"/>
    <w:rsid w:val="009F1998"/>
    <w:rsid w:val="009F7B3C"/>
    <w:rsid w:val="00A10B22"/>
    <w:rsid w:val="00A35C79"/>
    <w:rsid w:val="00A43CD4"/>
    <w:rsid w:val="00A75A4F"/>
    <w:rsid w:val="00A84253"/>
    <w:rsid w:val="00A95412"/>
    <w:rsid w:val="00AA1E07"/>
    <w:rsid w:val="00AA7F94"/>
    <w:rsid w:val="00AB62F9"/>
    <w:rsid w:val="00AB7D8A"/>
    <w:rsid w:val="00AC11CA"/>
    <w:rsid w:val="00AC26D7"/>
    <w:rsid w:val="00AD268E"/>
    <w:rsid w:val="00B07A5C"/>
    <w:rsid w:val="00B20BC3"/>
    <w:rsid w:val="00B27C0A"/>
    <w:rsid w:val="00B310CB"/>
    <w:rsid w:val="00B33303"/>
    <w:rsid w:val="00B432DD"/>
    <w:rsid w:val="00B57152"/>
    <w:rsid w:val="00B63608"/>
    <w:rsid w:val="00B97050"/>
    <w:rsid w:val="00BA39D5"/>
    <w:rsid w:val="00BA6B37"/>
    <w:rsid w:val="00BD51B3"/>
    <w:rsid w:val="00BE03EE"/>
    <w:rsid w:val="00C10307"/>
    <w:rsid w:val="00C14B7D"/>
    <w:rsid w:val="00C17366"/>
    <w:rsid w:val="00C23BC2"/>
    <w:rsid w:val="00C34316"/>
    <w:rsid w:val="00C348B0"/>
    <w:rsid w:val="00C365B0"/>
    <w:rsid w:val="00C413F0"/>
    <w:rsid w:val="00C420B5"/>
    <w:rsid w:val="00C4360F"/>
    <w:rsid w:val="00C53E9B"/>
    <w:rsid w:val="00C5721A"/>
    <w:rsid w:val="00C75B8C"/>
    <w:rsid w:val="00C808FD"/>
    <w:rsid w:val="00C86438"/>
    <w:rsid w:val="00C95A42"/>
    <w:rsid w:val="00C96DCE"/>
    <w:rsid w:val="00CB44B8"/>
    <w:rsid w:val="00CC39C1"/>
    <w:rsid w:val="00CC72D1"/>
    <w:rsid w:val="00CD30BC"/>
    <w:rsid w:val="00CD77FB"/>
    <w:rsid w:val="00CE0195"/>
    <w:rsid w:val="00CE144A"/>
    <w:rsid w:val="00CE7DA6"/>
    <w:rsid w:val="00CF3E07"/>
    <w:rsid w:val="00CF71F7"/>
    <w:rsid w:val="00D063FC"/>
    <w:rsid w:val="00D1439C"/>
    <w:rsid w:val="00D1770D"/>
    <w:rsid w:val="00D30D02"/>
    <w:rsid w:val="00D51440"/>
    <w:rsid w:val="00D54734"/>
    <w:rsid w:val="00D70A45"/>
    <w:rsid w:val="00D76C59"/>
    <w:rsid w:val="00D84B23"/>
    <w:rsid w:val="00DE1B4B"/>
    <w:rsid w:val="00DE5F8A"/>
    <w:rsid w:val="00DE68DB"/>
    <w:rsid w:val="00DF386A"/>
    <w:rsid w:val="00DF4749"/>
    <w:rsid w:val="00E12D70"/>
    <w:rsid w:val="00E30AF5"/>
    <w:rsid w:val="00E3148F"/>
    <w:rsid w:val="00E31759"/>
    <w:rsid w:val="00E3417D"/>
    <w:rsid w:val="00E461B1"/>
    <w:rsid w:val="00E50190"/>
    <w:rsid w:val="00E50707"/>
    <w:rsid w:val="00E65700"/>
    <w:rsid w:val="00E66335"/>
    <w:rsid w:val="00E71C19"/>
    <w:rsid w:val="00E8153B"/>
    <w:rsid w:val="00E9618D"/>
    <w:rsid w:val="00EE174E"/>
    <w:rsid w:val="00EF4216"/>
    <w:rsid w:val="00EF53CC"/>
    <w:rsid w:val="00F06B6A"/>
    <w:rsid w:val="00F31349"/>
    <w:rsid w:val="00F37ACE"/>
    <w:rsid w:val="00F51A37"/>
    <w:rsid w:val="00F61746"/>
    <w:rsid w:val="00F64DAC"/>
    <w:rsid w:val="00F711D4"/>
    <w:rsid w:val="00F7777F"/>
    <w:rsid w:val="00F96966"/>
    <w:rsid w:val="00FA17AC"/>
    <w:rsid w:val="00FA1B3A"/>
    <w:rsid w:val="00FB34D0"/>
    <w:rsid w:val="00FB460D"/>
    <w:rsid w:val="00FB530D"/>
    <w:rsid w:val="00FB5632"/>
    <w:rsid w:val="00FD6267"/>
    <w:rsid w:val="00FF144B"/>
    <w:rsid w:val="050E0CF2"/>
    <w:rsid w:val="070A1D6D"/>
    <w:rsid w:val="073EE195"/>
    <w:rsid w:val="08A21BD6"/>
    <w:rsid w:val="08A529CC"/>
    <w:rsid w:val="08DAB1F6"/>
    <w:rsid w:val="09242F1E"/>
    <w:rsid w:val="09DDDA0C"/>
    <w:rsid w:val="0D027DC2"/>
    <w:rsid w:val="1095659F"/>
    <w:rsid w:val="113AB5B5"/>
    <w:rsid w:val="11D1CC19"/>
    <w:rsid w:val="12083FB1"/>
    <w:rsid w:val="14301CE0"/>
    <w:rsid w:val="1469F250"/>
    <w:rsid w:val="15F54248"/>
    <w:rsid w:val="16590256"/>
    <w:rsid w:val="187D7F8E"/>
    <w:rsid w:val="1B4C1099"/>
    <w:rsid w:val="1B8DDB07"/>
    <w:rsid w:val="1D86BE51"/>
    <w:rsid w:val="203F742F"/>
    <w:rsid w:val="218E37CE"/>
    <w:rsid w:val="21E94F91"/>
    <w:rsid w:val="228F6BB4"/>
    <w:rsid w:val="2662E36E"/>
    <w:rsid w:val="26FF2905"/>
    <w:rsid w:val="270F4506"/>
    <w:rsid w:val="294FA93D"/>
    <w:rsid w:val="2BB5A88D"/>
    <w:rsid w:val="2BB971CB"/>
    <w:rsid w:val="2D9ABB8A"/>
    <w:rsid w:val="30275D33"/>
    <w:rsid w:val="3187933B"/>
    <w:rsid w:val="318A5318"/>
    <w:rsid w:val="326C753E"/>
    <w:rsid w:val="329D9001"/>
    <w:rsid w:val="33DE4385"/>
    <w:rsid w:val="3701EB85"/>
    <w:rsid w:val="3769F77D"/>
    <w:rsid w:val="379142AF"/>
    <w:rsid w:val="38641914"/>
    <w:rsid w:val="3B3D4DD6"/>
    <w:rsid w:val="3C2712F1"/>
    <w:rsid w:val="3C33828B"/>
    <w:rsid w:val="3DB43BFE"/>
    <w:rsid w:val="3F70B8D3"/>
    <w:rsid w:val="40A39E30"/>
    <w:rsid w:val="40C2CE88"/>
    <w:rsid w:val="4193FB83"/>
    <w:rsid w:val="4246C49F"/>
    <w:rsid w:val="42E0C1B9"/>
    <w:rsid w:val="4396A040"/>
    <w:rsid w:val="44AE845D"/>
    <w:rsid w:val="45B4CCDA"/>
    <w:rsid w:val="47B8D7A7"/>
    <w:rsid w:val="4806A2A7"/>
    <w:rsid w:val="48EC6D9C"/>
    <w:rsid w:val="494B2460"/>
    <w:rsid w:val="4AE6F4C1"/>
    <w:rsid w:val="4B3E4369"/>
    <w:rsid w:val="4B9C2FE4"/>
    <w:rsid w:val="4DECDEE0"/>
    <w:rsid w:val="4E1E9583"/>
    <w:rsid w:val="503489E9"/>
    <w:rsid w:val="50A7EFAB"/>
    <w:rsid w:val="50EFA921"/>
    <w:rsid w:val="51ECF98A"/>
    <w:rsid w:val="55C50D1E"/>
    <w:rsid w:val="56BFA701"/>
    <w:rsid w:val="57B5BE7B"/>
    <w:rsid w:val="580AF422"/>
    <w:rsid w:val="589E4BF7"/>
    <w:rsid w:val="5B3B3ED6"/>
    <w:rsid w:val="5C8BF247"/>
    <w:rsid w:val="5D8E6039"/>
    <w:rsid w:val="5E610D49"/>
    <w:rsid w:val="5EB835ED"/>
    <w:rsid w:val="611590D1"/>
    <w:rsid w:val="61FA4301"/>
    <w:rsid w:val="67736A42"/>
    <w:rsid w:val="6862B4DC"/>
    <w:rsid w:val="6A9F98E7"/>
    <w:rsid w:val="6E0105FC"/>
    <w:rsid w:val="73C7900C"/>
    <w:rsid w:val="75AB74EE"/>
    <w:rsid w:val="7722C96D"/>
    <w:rsid w:val="7922AA40"/>
    <w:rsid w:val="79E23307"/>
    <w:rsid w:val="7A176B8E"/>
    <w:rsid w:val="7B9A1392"/>
    <w:rsid w:val="7BAD3177"/>
    <w:rsid w:val="7D4901D8"/>
    <w:rsid w:val="7DF919B8"/>
    <w:rsid w:val="7EA7768D"/>
    <w:rsid w:val="7F9AD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1D9B7"/>
  <w15:chartTrackingRefBased/>
  <w15:docId w15:val="{85F9B9CE-9295-4098-9427-0EBACB9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32AB"/>
    <w:pPr>
      <w:spacing w:before="100" w:beforeAutospacing="1" w:after="100" w:afterAutospacing="1"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2AB"/>
    <w:rPr>
      <w:rFonts w:ascii="Arial" w:eastAsia="Times New Roman" w:hAnsi="Arial" w:cs="Arial"/>
      <w:b/>
      <w:bCs/>
      <w:sz w:val="20"/>
      <w:szCs w:val="20"/>
    </w:rPr>
  </w:style>
  <w:style w:type="paragraph" w:styleId="NormalWeb">
    <w:name w:val="Normal (Web)"/>
    <w:basedOn w:val="Normal"/>
    <w:uiPriority w:val="99"/>
    <w:unhideWhenUsed/>
    <w:rsid w:val="007932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2AB"/>
    <w:rPr>
      <w:b/>
      <w:bCs/>
    </w:rPr>
  </w:style>
  <w:style w:type="character" w:styleId="Emphasis">
    <w:name w:val="Emphasis"/>
    <w:basedOn w:val="DefaultParagraphFont"/>
    <w:uiPriority w:val="20"/>
    <w:qFormat/>
    <w:rsid w:val="007932AB"/>
    <w:rPr>
      <w:i/>
      <w:iCs/>
    </w:rPr>
  </w:style>
  <w:style w:type="character" w:customStyle="1" w:styleId="p2">
    <w:name w:val="p2"/>
    <w:basedOn w:val="DefaultParagraphFont"/>
    <w:rsid w:val="00817DEF"/>
  </w:style>
  <w:style w:type="paragraph" w:styleId="ListParagraph">
    <w:name w:val="List Paragraph"/>
    <w:basedOn w:val="Normal"/>
    <w:uiPriority w:val="34"/>
    <w:qFormat/>
    <w:rsid w:val="00E8153B"/>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B57152"/>
    <w:rPr>
      <w:color w:val="0563C1" w:themeColor="hyperlink"/>
      <w:u w:val="single"/>
    </w:rPr>
  </w:style>
  <w:style w:type="character" w:styleId="UnresolvedMention">
    <w:name w:val="Unresolved Mention"/>
    <w:basedOn w:val="DefaultParagraphFont"/>
    <w:uiPriority w:val="99"/>
    <w:semiHidden/>
    <w:unhideWhenUsed/>
    <w:rsid w:val="00B57152"/>
    <w:rPr>
      <w:color w:val="605E5C"/>
      <w:shd w:val="clear" w:color="auto" w:fill="E1DFDD"/>
    </w:rPr>
  </w:style>
  <w:style w:type="character" w:customStyle="1" w:styleId="normaltextrun">
    <w:name w:val="normaltextrun"/>
    <w:basedOn w:val="DefaultParagraphFont"/>
    <w:rsid w:val="00435240"/>
  </w:style>
  <w:style w:type="character" w:styleId="CommentReference">
    <w:name w:val="annotation reference"/>
    <w:basedOn w:val="DefaultParagraphFont"/>
    <w:uiPriority w:val="99"/>
    <w:semiHidden/>
    <w:unhideWhenUsed/>
    <w:rsid w:val="00BA6B37"/>
    <w:rPr>
      <w:sz w:val="16"/>
      <w:szCs w:val="16"/>
    </w:rPr>
  </w:style>
  <w:style w:type="paragraph" w:styleId="CommentText">
    <w:name w:val="annotation text"/>
    <w:basedOn w:val="Normal"/>
    <w:link w:val="CommentTextChar"/>
    <w:uiPriority w:val="99"/>
    <w:semiHidden/>
    <w:unhideWhenUsed/>
    <w:rsid w:val="00BA6B37"/>
    <w:pPr>
      <w:spacing w:line="240" w:lineRule="auto"/>
    </w:pPr>
    <w:rPr>
      <w:sz w:val="20"/>
      <w:szCs w:val="20"/>
    </w:rPr>
  </w:style>
  <w:style w:type="character" w:customStyle="1" w:styleId="CommentTextChar">
    <w:name w:val="Comment Text Char"/>
    <w:basedOn w:val="DefaultParagraphFont"/>
    <w:link w:val="CommentText"/>
    <w:uiPriority w:val="99"/>
    <w:semiHidden/>
    <w:rsid w:val="00BA6B37"/>
    <w:rPr>
      <w:sz w:val="20"/>
      <w:szCs w:val="20"/>
    </w:rPr>
  </w:style>
  <w:style w:type="paragraph" w:styleId="CommentSubject">
    <w:name w:val="annotation subject"/>
    <w:basedOn w:val="CommentText"/>
    <w:next w:val="CommentText"/>
    <w:link w:val="CommentSubjectChar"/>
    <w:uiPriority w:val="99"/>
    <w:semiHidden/>
    <w:unhideWhenUsed/>
    <w:rsid w:val="00BA6B37"/>
    <w:rPr>
      <w:b/>
      <w:bCs/>
    </w:rPr>
  </w:style>
  <w:style w:type="character" w:customStyle="1" w:styleId="CommentSubjectChar">
    <w:name w:val="Comment Subject Char"/>
    <w:basedOn w:val="CommentTextChar"/>
    <w:link w:val="CommentSubject"/>
    <w:uiPriority w:val="99"/>
    <w:semiHidden/>
    <w:rsid w:val="00BA6B37"/>
    <w:rPr>
      <w:b/>
      <w:bCs/>
      <w:sz w:val="20"/>
      <w:szCs w:val="20"/>
    </w:rPr>
  </w:style>
  <w:style w:type="character" w:styleId="FollowedHyperlink">
    <w:name w:val="FollowedHyperlink"/>
    <w:basedOn w:val="DefaultParagraphFont"/>
    <w:uiPriority w:val="99"/>
    <w:semiHidden/>
    <w:unhideWhenUsed/>
    <w:rsid w:val="00460D28"/>
    <w:rPr>
      <w:color w:val="954F72" w:themeColor="followedHyperlink"/>
      <w:u w:val="single"/>
    </w:rPr>
  </w:style>
  <w:style w:type="paragraph" w:styleId="Header">
    <w:name w:val="header"/>
    <w:basedOn w:val="Normal"/>
    <w:link w:val="HeaderChar"/>
    <w:uiPriority w:val="99"/>
    <w:semiHidden/>
    <w:unhideWhenUsed/>
    <w:rsid w:val="009F19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998"/>
  </w:style>
  <w:style w:type="paragraph" w:styleId="Footer">
    <w:name w:val="footer"/>
    <w:basedOn w:val="Normal"/>
    <w:link w:val="FooterChar"/>
    <w:uiPriority w:val="99"/>
    <w:semiHidden/>
    <w:unhideWhenUsed/>
    <w:rsid w:val="009F1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401">
      <w:bodyDiv w:val="1"/>
      <w:marLeft w:val="0"/>
      <w:marRight w:val="0"/>
      <w:marTop w:val="0"/>
      <w:marBottom w:val="0"/>
      <w:divBdr>
        <w:top w:val="none" w:sz="0" w:space="0" w:color="auto"/>
        <w:left w:val="none" w:sz="0" w:space="0" w:color="auto"/>
        <w:bottom w:val="none" w:sz="0" w:space="0" w:color="auto"/>
        <w:right w:val="none" w:sz="0" w:space="0" w:color="auto"/>
      </w:divBdr>
    </w:div>
    <w:div w:id="700283957">
      <w:bodyDiv w:val="1"/>
      <w:marLeft w:val="0"/>
      <w:marRight w:val="0"/>
      <w:marTop w:val="0"/>
      <w:marBottom w:val="0"/>
      <w:divBdr>
        <w:top w:val="none" w:sz="0" w:space="0" w:color="auto"/>
        <w:left w:val="none" w:sz="0" w:space="0" w:color="auto"/>
        <w:bottom w:val="none" w:sz="0" w:space="0" w:color="auto"/>
        <w:right w:val="none" w:sz="0" w:space="0" w:color="auto"/>
      </w:divBdr>
    </w:div>
    <w:div w:id="745807135">
      <w:bodyDiv w:val="1"/>
      <w:marLeft w:val="0"/>
      <w:marRight w:val="0"/>
      <w:marTop w:val="0"/>
      <w:marBottom w:val="0"/>
      <w:divBdr>
        <w:top w:val="none" w:sz="0" w:space="0" w:color="auto"/>
        <w:left w:val="none" w:sz="0" w:space="0" w:color="auto"/>
        <w:bottom w:val="none" w:sz="0" w:space="0" w:color="auto"/>
        <w:right w:val="none" w:sz="0" w:space="0" w:color="auto"/>
      </w:divBdr>
      <w:divsChild>
        <w:div w:id="1139230206">
          <w:marLeft w:val="0"/>
          <w:marRight w:val="0"/>
          <w:marTop w:val="0"/>
          <w:marBottom w:val="0"/>
          <w:divBdr>
            <w:top w:val="none" w:sz="0" w:space="0" w:color="auto"/>
            <w:left w:val="none" w:sz="0" w:space="0" w:color="auto"/>
            <w:bottom w:val="none" w:sz="0" w:space="0" w:color="auto"/>
            <w:right w:val="none" w:sz="0" w:space="0" w:color="auto"/>
          </w:divBdr>
          <w:divsChild>
            <w:div w:id="2078478432">
              <w:marLeft w:val="0"/>
              <w:marRight w:val="0"/>
              <w:marTop w:val="0"/>
              <w:marBottom w:val="0"/>
              <w:divBdr>
                <w:top w:val="none" w:sz="0" w:space="0" w:color="auto"/>
                <w:left w:val="none" w:sz="0" w:space="0" w:color="auto"/>
                <w:bottom w:val="none" w:sz="0" w:space="0" w:color="auto"/>
                <w:right w:val="none" w:sz="0" w:space="0" w:color="auto"/>
              </w:divBdr>
              <w:divsChild>
                <w:div w:id="16253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8294">
      <w:bodyDiv w:val="1"/>
      <w:marLeft w:val="0"/>
      <w:marRight w:val="0"/>
      <w:marTop w:val="0"/>
      <w:marBottom w:val="0"/>
      <w:divBdr>
        <w:top w:val="none" w:sz="0" w:space="0" w:color="auto"/>
        <w:left w:val="none" w:sz="0" w:space="0" w:color="auto"/>
        <w:bottom w:val="none" w:sz="0" w:space="0" w:color="auto"/>
        <w:right w:val="none" w:sz="0" w:space="0" w:color="auto"/>
      </w:divBdr>
    </w:div>
    <w:div w:id="1183086471">
      <w:bodyDiv w:val="1"/>
      <w:marLeft w:val="0"/>
      <w:marRight w:val="0"/>
      <w:marTop w:val="0"/>
      <w:marBottom w:val="0"/>
      <w:divBdr>
        <w:top w:val="none" w:sz="0" w:space="0" w:color="auto"/>
        <w:left w:val="none" w:sz="0" w:space="0" w:color="auto"/>
        <w:bottom w:val="none" w:sz="0" w:space="0" w:color="auto"/>
        <w:right w:val="none" w:sz="0" w:space="0" w:color="auto"/>
      </w:divBdr>
    </w:div>
    <w:div w:id="1625424293">
      <w:bodyDiv w:val="1"/>
      <w:marLeft w:val="0"/>
      <w:marRight w:val="0"/>
      <w:marTop w:val="0"/>
      <w:marBottom w:val="0"/>
      <w:divBdr>
        <w:top w:val="none" w:sz="0" w:space="0" w:color="auto"/>
        <w:left w:val="none" w:sz="0" w:space="0" w:color="auto"/>
        <w:bottom w:val="none" w:sz="0" w:space="0" w:color="auto"/>
        <w:right w:val="none" w:sz="0" w:space="0" w:color="auto"/>
      </w:divBdr>
    </w:div>
    <w:div w:id="1629583404">
      <w:bodyDiv w:val="1"/>
      <w:marLeft w:val="0"/>
      <w:marRight w:val="0"/>
      <w:marTop w:val="0"/>
      <w:marBottom w:val="0"/>
      <w:divBdr>
        <w:top w:val="none" w:sz="0" w:space="0" w:color="auto"/>
        <w:left w:val="none" w:sz="0" w:space="0" w:color="auto"/>
        <w:bottom w:val="none" w:sz="0" w:space="0" w:color="auto"/>
        <w:right w:val="none" w:sz="0" w:space="0" w:color="auto"/>
      </w:divBdr>
    </w:div>
    <w:div w:id="1781218753">
      <w:bodyDiv w:val="1"/>
      <w:marLeft w:val="0"/>
      <w:marRight w:val="0"/>
      <w:marTop w:val="0"/>
      <w:marBottom w:val="0"/>
      <w:divBdr>
        <w:top w:val="none" w:sz="0" w:space="0" w:color="auto"/>
        <w:left w:val="none" w:sz="0" w:space="0" w:color="auto"/>
        <w:bottom w:val="none" w:sz="0" w:space="0" w:color="auto"/>
        <w:right w:val="none" w:sz="0" w:space="0" w:color="auto"/>
      </w:divBdr>
    </w:div>
    <w:div w:id="181078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bIA7O" TargetMode="External"/><Relationship Id="rId3" Type="http://schemas.openxmlformats.org/officeDocument/2006/relationships/settings" Target="settings.xml"/><Relationship Id="rId7" Type="http://schemas.openxmlformats.org/officeDocument/2006/relationships/hyperlink" Target="https://www.worldbank.org/en/archive/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fc.org/wps/wcm/connect/Careers_Ext_Content/IFC_External_Corporate_Site/IFC+Careers/Working+at+the+IFC/" TargetMode="External"/><Relationship Id="rId4" Type="http://schemas.openxmlformats.org/officeDocument/2006/relationships/webSettings" Target="webSettings.xml"/><Relationship Id="rId9" Type="http://schemas.openxmlformats.org/officeDocument/2006/relationships/hyperlink" Target="https://www.worldbank.org/en/about/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Beneito Arias</dc:creator>
  <cp:keywords/>
  <dc:description/>
  <cp:lastModifiedBy>April Miller</cp:lastModifiedBy>
  <cp:revision>2</cp:revision>
  <dcterms:created xsi:type="dcterms:W3CDTF">2022-01-31T22:33:00Z</dcterms:created>
  <dcterms:modified xsi:type="dcterms:W3CDTF">2022-01-31T22:33:00Z</dcterms:modified>
</cp:coreProperties>
</file>